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1.xml" ContentType="application/vnd.openxmlformats-officedocument.wordprocessingml.header+xml"/>
  <Override PartName="/word/header2.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2" w:name="_Hlk80274242"/>
            <w:r>
              <w:rPr>
                <w:rFonts w:ascii="Arial" w:hAnsi="Arial" w:cs="Arial"/>
                <w:b/>
                <w:caps/>
                <w:color w:val="FFFFFF"/>
                <w:sz w:val="22"/>
                <w:szCs w:val="22"/>
              </w:rPr>
              <w:t xml:space="preserve">transporto. PIRKIMO OBJEKTAS</w:t>
            </w:r>
          </w:p>
        </w:tc>
      </w:tr>
      <w:bookmarkEnd w:id="2"/>
    </w:tbl>
    <w:p w14:paraId="64466253">
      <w:pPr>
        <w:spacing/>
        <w:jc w:val="left"/>
        <w:rPr>
          <w:rFonts w:ascii="Arial" w:hAnsi="Arial" w:cs="Arial"/>
          <w:b/>
          <w:caps/>
          <w:sz w:val="22"/>
          <w:szCs w:val="22"/>
        </w:rPr>
      </w:pPr>
    </w:p>
    <w:p w14:paraId="64466254">
      <w:pPr>
        <w:spacing/>
        <w:rPr>
          <w:rFonts w:ascii="Arial" w:hAnsi="Arial" w:cs="Arial"/>
          <w:b/>
          <w:szCs w:val="24"/>
        </w:rPr>
      </w:pPr>
      <w:r>
        <w:rPr>
          <w:rFonts w:ascii="Arial" w:hAnsi="Arial" w:cs="Arial"/>
          <w:b/>
          <w:bCs/>
          <w:szCs w:val="24"/>
        </w:rPr>
        <w:t xml:space="preserve">VALSTYBINĖS REIKŠMĖS </w:t>
      </w:r>
      <w:r>
        <w:rPr/>
        <w:fldChar w:fldCharType="begin"/>
      </w:r>
      <w:r>
        <w:rPr/>
        <w:instrText xml:space="preserve">HYPERLINK "https://dvs.lakd.lt/DocLogix/Common/Form.aspx?ID=20819842&amp;Referrer=ff9f6c57-2a64-4f8e-9d9e-520748a5cdd1" </w:instrText>
      </w:r>
      <w:r>
        <w:rPr/>
        <w:fldChar w:fldCharType="separate"/>
      </w:r>
      <w:r>
        <w:rPr>
          <w:rFonts w:ascii="Arial" w:hAnsi="Arial" w:cs="Arial"/>
          <w:b/>
          <w:szCs w:val="24"/>
        </w:rPr>
        <w:t xml:space="preserve">KRAŠTO KELIO NR. 108 VIEVIS–MAIŠIAGALA–NEMENČINĖ RUOŽO NUO 36,800 IKI 43,790 KM REKONSTRAVIMAO</w:t>
      </w:r>
      <w:r>
        <w:rPr/>
        <w:fldChar w:fldCharType="end"/>
      </w:r>
      <w:r>
        <w:rPr>
          <w:rFonts w:ascii="Arial" w:hAnsi="Arial" w:cs="Arial"/>
          <w:szCs w:val="24"/>
        </w:rPr>
        <w:t xml:space="preserve"> </w:t>
      </w:r>
      <w:r>
        <w:rPr>
          <w:rFonts w:ascii="Arial" w:hAnsi="Arial" w:cs="Arial"/>
          <w:b/>
          <w:bCs/>
          <w:szCs w:val="24"/>
        </w:rPr>
        <w:t xml:space="preserve">TECHNINIO DARBO PROJEKTO PARENGIMAS IR </w:t>
      </w:r>
      <w:r>
        <w:rPr>
          <w:rFonts w:ascii="Arial" w:hAnsi="Arial" w:cs="Arial"/>
          <w:b/>
          <w:bCs/>
          <w:szCs w:val="24"/>
        </w:rPr>
        <w:t xml:space="preserve">PROJEKTO </w:t>
      </w:r>
      <w:r>
        <w:rPr>
          <w:rFonts w:ascii="Arial" w:hAnsi="Arial" w:cs="Arial"/>
          <w:b/>
          <w:bCs/>
          <w:szCs w:val="24"/>
        </w:rPr>
        <w:t xml:space="preserve">VYKDYMO PRIEŽIŪRA</w:t>
      </w:r>
    </w:p>
    <w:p w14:paraId="64466255">
      <w:pPr>
        <w:spacing/>
        <w:jc w:val="left"/>
        <w:rPr>
          <w:rFonts w:ascii="Arial" w:hAnsi="Arial" w:cs="Arial"/>
          <w:b/>
          <w:caps/>
          <w:sz w:val="22"/>
          <w:szCs w:val="22"/>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fill="005063" w:val="clear"/>
        <w:tblLook w:val="04A0" w:firstRow="1" w:lastRow="0" w:firstColumn="1" w:lastColumn="0" w:noHBand="0" w:noVBand="1"/>
      </w:tblPr>
      <w:tblGrid>
        <w:gridCol w:w="10627"/>
      </w:tblGrid>
      <w:tr>
        <w:trPr>
          <w:trHeight w:val="416" w:hRule="atLeast"/>
        </w:trPr>
        <w:tc>
          <w:tcPr>
            <w:tcW w:type="dxa" w:w="10627"/>
            <w:tcBorders/>
            <w:shd w:fill="005063" w:color="auto" w:val="clear"/>
            <w:vAlign w:val="center"/>
          </w:tcPr>
          <w:p>
            <w:pPr>
              <w:spacing/>
              <w:jc w:val="left"/>
              <w:rPr>
                <w:rFonts w:ascii="Arial" w:hAnsi="Arial" w:cs="Arial"/>
                <w:b/>
                <w:caps/>
                <w:color w:val="FFFFFF"/>
                <w:sz w:val="22"/>
                <w:szCs w:val="22"/>
              </w:rPr>
            </w:pPr>
            <w:bookmarkStart w:id="3" w:name="_Hlk80275011"/>
            <w:r>
              <w:rPr>
                <w:rFonts w:ascii="Arial" w:hAnsi="Arial" w:cs="Arial"/>
                <w:b/>
                <w:caps/>
                <w:color w:val="FFFFFF"/>
                <w:sz w:val="22"/>
                <w:szCs w:val="22"/>
              </w:rPr>
              <w:t xml:space="preserve">2. TECHNINIAI reikalavimai</w:t>
            </w:r>
          </w:p>
        </w:tc>
      </w:tr>
      <w:bookmarkEnd w:id="3"/>
    </w:tbl>
    <w:p w14:paraId="64466258">
      <w:pPr>
        <w:spacing/>
        <w:jc w:val="left"/>
        <w:rPr>
          <w:rFonts w:ascii="Arial" w:hAnsi="Arial" w:cs="Arial"/>
          <w:b/>
          <w:caps/>
          <w:sz w:val="22"/>
          <w:szCs w:val="22"/>
        </w:rPr>
      </w:pPr>
    </w:p>
    <w:p w14:paraId="64466259">
      <w:pPr>
        <w:numPr>
          <w:ilvl w:val="0"/>
          <w:numId w:val="2"/>
        </w:numPr>
        <w:spacing w:after="120" w:line="259" w:lineRule="auto"/>
        <w:ind w:left="567" w:firstLine="0"/>
        <w:jc w:val="left"/>
        <w:rPr>
          <w:rFonts w:ascii="Arial" w:hAnsi="Arial" w:cs="Arial"/>
          <w:sz w:val="22"/>
          <w:szCs w:val="22"/>
        </w:rPr>
      </w:pPr>
      <w:r>
        <w:rPr>
          <w:rFonts w:ascii="Arial" w:hAnsi="Arial" w:cs="Arial"/>
          <w:b/>
          <w:sz w:val="22"/>
          <w:szCs w:val="22"/>
        </w:rPr>
        <w:t xml:space="preserve">TECHNINĖJE SPECIFIKACIJOJE VARTOJAMOS SĄVOKOS IR JŲ TRUMPINIAI</w:t>
      </w:r>
    </w:p>
    <w:p w14:paraId="6446625A">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Užsakovas</w:t>
      </w:r>
      <w:r>
        <w:rPr>
          <w:rFonts w:ascii="Arial" w:hAnsi="Arial" w:cs="Arial"/>
          <w:sz w:val="22"/>
          <w:szCs w:val="22"/>
        </w:rPr>
        <w:t xml:space="preserve"> – Akcinė bendrovė „Via Lietuva“;</w:t>
      </w:r>
    </w:p>
    <w:p w14:paraId="6446625B">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Teikėjas </w:t>
      </w:r>
      <w:r>
        <w:rPr>
          <w:rFonts w:ascii="Arial" w:hAnsi="Arial" w:cs="Arial"/>
          <w:sz w:val="22"/>
          <w:szCs w:val="22"/>
        </w:rPr>
        <w:t xml:space="preserve">– projektavimo ir projekto vykdymo priežiūros paslaugas teikianti įmonė;</w:t>
      </w:r>
    </w:p>
    <w:p w14:paraId="6446625C">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Techninė užduotis  </w:t>
      </w:r>
      <w:r>
        <w:rPr>
          <w:rFonts w:ascii="Arial" w:hAnsi="Arial" w:cs="Arial"/>
          <w:sz w:val="22"/>
          <w:szCs w:val="22"/>
        </w:rPr>
        <w:t xml:space="preserve">– statinio projektavimo techninė užduotis;</w:t>
      </w:r>
    </w:p>
    <w:p w14:paraId="6446625D">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Projektas </w:t>
      </w:r>
      <w:r>
        <w:rPr>
          <w:rFonts w:ascii="Arial" w:hAnsi="Arial" w:cs="Arial"/>
          <w:sz w:val="22"/>
          <w:szCs w:val="22"/>
        </w:rPr>
        <w:t xml:space="preserve">– statinio rekonstravimo techninis darbo projektas;</w:t>
      </w:r>
    </w:p>
    <w:p w14:paraId="6446625E">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lang w:val="en-US"/>
        </w:rPr>
        <w:t xml:space="preserve">Sutartis </w:t>
      </w:r>
      <w:r>
        <w:rPr>
          <w:rFonts w:ascii="Arial" w:hAnsi="Arial" w:cs="Arial"/>
          <w:sz w:val="22"/>
          <w:szCs w:val="22"/>
        </w:rPr>
        <w:t xml:space="preserve">– sutartis sudaryta tarp Užsakovo ir Teikėjo dėl šioje techninėje specifikacijoje numatytų projektavimo ir su projektavimu susijusių paslaugų teikimo;</w:t>
      </w:r>
    </w:p>
    <w:p w14:paraId="6446625F">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Auditas </w:t>
      </w:r>
      <w:r>
        <w:rPr>
          <w:rFonts w:ascii="Arial" w:hAnsi="Arial" w:cs="Arial"/>
          <w:sz w:val="22"/>
          <w:szCs w:val="22"/>
        </w:rPr>
        <w:t xml:space="preserve">– kelių saugumo auditas;</w:t>
      </w:r>
    </w:p>
    <w:p w14:paraId="64466260">
      <w:pPr>
        <w:numPr>
          <w:ilvl w:val="1"/>
          <w:numId w:val="2"/>
        </w:numPr>
        <w:tabs>
          <w:tab w:val="left" w:pos="851"/>
        </w:tabs>
        <w:spacing w:line="259" w:lineRule="auto"/>
        <w:ind w:left="567" w:firstLine="0"/>
        <w:jc w:val="left"/>
        <w:rPr>
          <w:rFonts w:ascii="Arial" w:hAnsi="Arial" w:cs="Arial"/>
          <w:sz w:val="22"/>
          <w:szCs w:val="22"/>
        </w:rPr>
      </w:pPr>
      <w:r>
        <w:rPr>
          <w:rFonts w:ascii="Arial" w:hAnsi="Arial" w:cs="Arial"/>
          <w:b/>
          <w:bCs/>
          <w:sz w:val="22"/>
          <w:szCs w:val="22"/>
        </w:rPr>
        <w:t xml:space="preserve">Komisija </w:t>
      </w:r>
      <w:r>
        <w:rPr>
          <w:rFonts w:ascii="Arial" w:hAnsi="Arial" w:cs="Arial"/>
          <w:sz w:val="22"/>
          <w:szCs w:val="22"/>
        </w:rPr>
        <w:t xml:space="preserve">– Užsakovo Kelių ir kelio statinių projektų koordinavimo komisija.</w:t>
      </w:r>
    </w:p>
    <w:p w14:paraId="64466261">
      <w:pPr>
        <w:numPr>
          <w:ilvl w:val="0"/>
          <w:numId w:val="2"/>
        </w:numPr>
        <w:tabs>
          <w:tab w:val="left" w:pos="709"/>
        </w:tabs>
        <w:suppressAutoHyphens/>
        <w:spacing w:before="120" w:after="120" w:line="259" w:lineRule="auto"/>
        <w:ind w:left="567" w:firstLine="0"/>
        <w:jc w:val="left"/>
        <w:rPr>
          <w:rFonts w:ascii="Arial" w:hAnsi="Arial" w:cs="Arial"/>
          <w:b/>
          <w:bCs/>
          <w:i/>
          <w:sz w:val="22"/>
          <w:szCs w:val="22"/>
        </w:rPr>
      </w:pPr>
      <w:r>
        <w:rPr>
          <w:rFonts w:ascii="Arial" w:hAnsi="Arial" w:cs="Arial"/>
          <w:b/>
          <w:bCs/>
          <w:sz w:val="22"/>
          <w:szCs w:val="22"/>
        </w:rPr>
        <w:t xml:space="preserve">PROJEKTAVIMO PROCESE BŪTINA VADOVAUTIS</w:t>
      </w:r>
    </w:p>
    <w:p w14:paraId="64466262">
      <w:pPr>
        <w:pStyle w:val="ListParagraph"/>
        <w:numPr>
          <w:ilvl w:val="1"/>
          <w:numId w:val="2"/>
        </w:numPr>
        <w:suppressAutoHyphens/>
        <w:spacing w:line="259" w:lineRule="auto"/>
        <w:ind w:left="567" w:firstLine="0"/>
        <w:rPr>
          <w:rFonts w:ascii="Arial" w:hAnsi="Arial" w:cs="Arial"/>
          <w:sz w:val="22"/>
        </w:rPr>
      </w:pPr>
      <w:r>
        <w:rPr>
          <w:rFonts w:ascii="Arial" w:hAnsi="Arial" w:cs="Arial"/>
          <w:sz w:val="22"/>
        </w:rPr>
        <w:t xml:space="preserve">Lietuvos Respublikos Statybos įstatymu, statybos techniniais reglamentais, kelių techniniu reglamentu, higienos normomis, poįstatyminiais teisės aktais;</w:t>
      </w:r>
    </w:p>
    <w:p w14:paraId="64466263">
      <w:pPr>
        <w:numPr>
          <w:ilvl w:val="1"/>
          <w:numId w:val="2"/>
        </w:numPr>
        <w:spacing w:line="259" w:lineRule="auto"/>
        <w:ind w:left="567" w:firstLine="0"/>
        <w:contextualSpacing/>
        <w:jc w:val="left"/>
        <w:rPr>
          <w:rFonts w:ascii="Arial" w:hAnsi="Arial" w:cs="Arial"/>
          <w:sz w:val="22"/>
          <w:szCs w:val="22"/>
        </w:rPr>
      </w:pPr>
      <w:r>
        <w:rPr>
          <w:rFonts w:ascii="Arial" w:hAnsi="Arial" w:cs="Arial"/>
          <w:sz w:val="22"/>
          <w:szCs w:val="22"/>
        </w:rPr>
        <w:t xml:space="preserve">Parengtais ir patvirtintais teritorijų planavimo dokumentais;</w:t>
      </w:r>
    </w:p>
    <w:p w14:paraId="64466264">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Projekto rengimo dokumentais;</w:t>
      </w:r>
    </w:p>
    <w:p w14:paraId="64466265">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Inžinerinių tinklų savininkų ir naudotojų išduotomis prisijungimo sąlygomis;</w:t>
      </w:r>
    </w:p>
    <w:p w14:paraId="64466266">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Technine (-ėmis) užduotimi (-is);</w:t>
      </w:r>
    </w:p>
    <w:p w14:paraId="64466267">
      <w:pPr>
        <w:numPr>
          <w:ilvl w:val="1"/>
          <w:numId w:val="2"/>
        </w:numPr>
        <w:spacing w:after="160" w:line="259" w:lineRule="auto"/>
        <w:ind w:left="567" w:firstLine="0"/>
        <w:contextualSpacing/>
        <w:jc w:val="left"/>
        <w:rPr>
          <w:rFonts w:ascii="Arial" w:hAnsi="Arial" w:cs="Arial"/>
          <w:sz w:val="22"/>
          <w:szCs w:val="22"/>
        </w:rPr>
      </w:pPr>
      <w:r>
        <w:rPr>
          <w:rFonts w:ascii="Arial" w:hAnsi="Arial" w:cs="Arial"/>
          <w:sz w:val="22"/>
          <w:szCs w:val="22"/>
        </w:rPr>
        <w:t xml:space="preserve">Užsakovo internetinėje svetainėje Normatyvinių ir techninių dokumentų skiltyje pateiktais dokumentais;</w:t>
      </w:r>
    </w:p>
    <w:p w14:paraId="64466268">
      <w:pPr>
        <w:numPr>
          <w:ilvl w:val="1"/>
          <w:numId w:val="2"/>
        </w:numPr>
        <w:spacing w:line="259" w:lineRule="auto"/>
        <w:ind w:left="567" w:firstLine="0"/>
        <w:contextualSpacing/>
        <w:jc w:val="left"/>
        <w:rPr>
          <w:rFonts w:ascii="Arial" w:hAnsi="Arial" w:cs="Arial"/>
          <w:sz w:val="22"/>
          <w:szCs w:val="22"/>
        </w:rPr>
      </w:pPr>
      <w:r>
        <w:rPr>
          <w:rFonts w:ascii="Arial" w:hAnsi="Arial" w:cs="Arial"/>
          <w:sz w:val="22"/>
          <w:szCs w:val="22"/>
        </w:rPr>
        <w:t xml:space="preserve">Kitais galiojančiais įstatymais, teisės aktais, rekomendacijomis bei normatyviniais statybos techniniais dokumentais.</w:t>
      </w:r>
    </w:p>
    <w:p w14:paraId="64466269">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BENDRIEJI REIKALAVIMAI TEIKĖJUI IR DOKUMENTACIJAI</w:t>
      </w:r>
    </w:p>
    <w:p w14:paraId="6446626A">
      <w:pPr>
        <w:numPr>
          <w:ilvl w:val="1"/>
          <w:numId w:val="2"/>
        </w:numPr>
        <w:suppressAutoHyphens/>
        <w:spacing/>
        <w:ind w:left="567" w:firstLine="0"/>
        <w:rPr>
          <w:rFonts w:ascii="Arial" w:hAnsi="Arial" w:cs="Arial"/>
          <w:sz w:val="22"/>
          <w:szCs w:val="22"/>
        </w:rPr>
      </w:pPr>
      <w:bookmarkStart w:id="4" w:name="_Hlk191624034"/>
      <w:r>
        <w:rPr>
          <w:rFonts w:ascii="Arial" w:hAnsi="Arial" w:cs="Arial"/>
          <w:sz w:val="22"/>
          <w:szCs w:val="22"/>
        </w:rPr>
        <w:t xml:space="preserve">Teikėjas, konkurso metu išnagrinėjęs pirkimo dokumentus, galiojančius teritorijų planavimo, 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w:t>
      </w:r>
      <w:r>
        <w:rPr>
          <w:rFonts w:ascii="Arial" w:hAnsi="Arial" w:cs="Arial"/>
          <w:sz w:val="22"/>
          <w:szCs w:val="22"/>
        </w:rPr>
        <w:t xml:space="preserve">ų kelio statinių būklę, susipažinti su vietove, kad pasiūlyme būtų tinkamai ir pilnai įvertintos remonto / rekonstravimo darbų apimtys bei darbų įvykdymo sąlygos.</w:t>
      </w:r>
    </w:p>
    <w:p w14:paraId="6446626B">
      <w:pPr>
        <w:numPr>
          <w:ilvl w:val="1"/>
          <w:numId w:val="2"/>
        </w:numPr>
        <w:suppressAutoHyphens/>
        <w:spacing/>
        <w:ind w:left="567" w:firstLine="0"/>
        <w:rPr>
          <w:rFonts w:ascii="Arial" w:hAnsi="Arial" w:cs="Arial"/>
          <w:sz w:val="22"/>
          <w:szCs w:val="22"/>
        </w:rPr>
      </w:pPr>
      <w:r>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6446626C">
      <w:pPr>
        <w:pStyle w:val="ListParagraph"/>
        <w:numPr>
          <w:ilvl w:val="1"/>
          <w:numId w:val="2"/>
        </w:numPr>
        <w:spacing/>
        <w:ind w:left="567" w:firstLine="0"/>
        <w:jc w:val="both"/>
        <w:rPr>
          <w:rFonts w:ascii="Arial" w:hAnsi="Arial" w:eastAsia="Times New Roman" w:cs="Arial"/>
          <w:sz w:val="22"/>
        </w:rPr>
      </w:pPr>
      <w:r>
        <w:rPr>
          <w:rFonts w:ascii="Arial" w:hAnsi="Arial" w:eastAsia="Times New Roman" w:cs="Arial"/>
          <w:sz w:val="22"/>
        </w:rPr>
        <w:t xml:space="preserve">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bookmarkEnd w:id="4"/>
    <w:p w14:paraId="6446626D">
      <w:pPr>
        <w:pStyle w:val="ListParagraph"/>
        <w:numPr>
          <w:ilvl w:val="1"/>
          <w:numId w:val="2"/>
        </w:numPr>
        <w:spacing/>
        <w:ind w:left="567" w:firstLine="0"/>
        <w:jc w:val="both"/>
        <w:rPr>
          <w:rFonts w:ascii="Arial" w:hAnsi="Arial" w:eastAsia="Times New Roman" w:cs="Arial"/>
          <w:sz w:val="22"/>
        </w:rPr>
      </w:pPr>
      <w:r>
        <w:rPr>
          <w:rFonts w:ascii="Arial" w:hAnsi="Arial" w:eastAsia="Times New Roman" w:cs="Arial"/>
          <w:sz w:val="22"/>
        </w:rPr>
        <w:t xml:space="preserve">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Pr>
          <w:rFonts w:ascii="Arial" w:hAnsi="Arial" w:cs="Arial"/>
          <w:sz w:val="22"/>
        </w:rPr>
        <w:t xml:space="preserve">projekto aiškinamajame rašte pateikti trumpą jų analizę nurodant projektuojamo objekto vietą ir pagrindimą, kad projektuojamo objekto sprendiniai neprieštarauja planavimo dokumentams)</w:t>
      </w:r>
      <w:r>
        <w:rPr>
          <w:rFonts w:ascii="Arial" w:hAnsi="Arial" w:eastAsia="Times New Roman" w:cs="Arial"/>
          <w:sz w:val="22"/>
        </w:rPr>
        <w:t xml:space="preserve">, galiojančių teisės aktų, taisyklių, standartų, ir užtikrinti, kad parengtas Projektas atitiktų visus Statybos techninio reglamento STR </w:t>
      </w:r>
      <w:r>
        <w:rPr>
          <w:rFonts w:ascii="Arial" w:hAnsi="Arial" w:eastAsia="Times New Roman" w:cs="Arial"/>
          <w:sz w:val="22"/>
        </w:rPr>
        <w:t xml:space="preserve">1.04.04:2017 „Statinio projektavimas, projekto ekspertizė“, patvirtinto Lietuvos Respublikos aplinkos ministro 2016 m. lapkričio 7 d. įsakymu Nr. D1-738 , reikalavimus.</w:t>
      </w:r>
    </w:p>
    <w:p w14:paraId="6446626E">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susitikimų, posėdžių dėl rengiamo Projekto sprendinių ar kitų su sutarties vykdymu susijusių klausimų protokolų projektus, formą ir turinį suderinti su Užsakovu;</w:t>
      </w:r>
    </w:p>
    <w:p w14:paraId="6446626F">
      <w:pPr>
        <w:pStyle w:val="ListParagraph"/>
        <w:numPr>
          <w:ilvl w:val="1"/>
          <w:numId w:val="2"/>
        </w:numPr>
        <w:spacing/>
        <w:ind w:left="567" w:firstLine="0"/>
        <w:jc w:val="both"/>
        <w:rPr>
          <w:rFonts w:ascii="Arial" w:hAnsi="Arial" w:eastAsia="Times New Roman" w:cs="Arial"/>
          <w:sz w:val="22"/>
        </w:rPr>
      </w:pPr>
      <w:r>
        <w:rPr>
          <w:rFonts w:ascii="Arial" w:hAnsi="Arial" w:eastAsia="Times New Roman"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64466270">
      <w:pPr>
        <w:numPr>
          <w:ilvl w:val="1"/>
          <w:numId w:val="2"/>
        </w:numPr>
        <w:suppressAutoHyphens/>
        <w:spacing w:line="259" w:lineRule="auto"/>
        <w:ind w:left="567" w:firstLine="0"/>
        <w:rPr>
          <w:rFonts w:ascii="Arial" w:hAnsi="Arial" w:cs="Arial"/>
          <w:sz w:val="22"/>
          <w:szCs w:val="22"/>
        </w:rPr>
      </w:pPr>
      <w:bookmarkStart w:id="5" w:name="_Hlk96101923"/>
      <w:r>
        <w:rPr>
          <w:rFonts w:ascii="Arial" w:hAnsi="Arial" w:cs="Arial"/>
          <w:sz w:val="22"/>
          <w:szCs w:val="22"/>
        </w:rPr>
        <w:t xml:space="preserve">Parengti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p>
    <w:p w14:paraId="64466271">
      <w:pPr>
        <w:numPr>
          <w:ilvl w:val="1"/>
          <w:numId w:val="2"/>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Projekto grafinė dalis turi būti įskaitoma. Topografijos informacija vaizduojama taip, kad neužgožtų sprendinių informacijos – pvz., pilka spalva, plonos linijos (sąlyga netaikoma inžinerinių tinklų žymėjimui).</w:t>
      </w:r>
    </w:p>
    <w:p w14:paraId="64466272">
      <w:pPr>
        <w:numPr>
          <w:ilvl w:val="1"/>
          <w:numId w:val="2"/>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Projekte teikiamos nuotraukos (atliekant fotofiksaciją) turi būti aktualios datos (nuotraukoje turi matytis datos žyma). </w:t>
      </w:r>
      <w:r>
        <w:rPr>
          <w:rFonts w:ascii="Arial" w:hAnsi="Arial" w:eastAsiaTheme="minorHAnsi" w:cs="Arial"/>
          <w:b/>
          <w:bCs/>
          <w:sz w:val="22"/>
          <w:szCs w:val="22"/>
        </w:rPr>
        <w:t xml:space="preserve">Draudžiama</w:t>
      </w:r>
      <w:r>
        <w:rPr>
          <w:rFonts w:ascii="Arial" w:hAnsi="Arial" w:eastAsiaTheme="minorHAnsi" w:cs="Arial"/>
          <w:sz w:val="22"/>
          <w:szCs w:val="22"/>
        </w:rPr>
        <w:t xml:space="preserve"> pateikinėti fotofiksacijas iš internetinių puslapių (pvz. </w:t>
      </w:r>
      <w:r>
        <w:rPr>
          <w:rFonts w:ascii="Arial" w:hAnsi="Arial" w:eastAsiaTheme="minorHAnsi" w:cs="Arial"/>
          <w:i/>
          <w:iCs/>
          <w:sz w:val="22"/>
          <w:szCs w:val="22"/>
        </w:rPr>
        <w:t xml:space="preserve">google maps</w:t>
      </w:r>
      <w:r>
        <w:rPr>
          <w:rFonts w:ascii="Arial" w:hAnsi="Arial" w:eastAsiaTheme="minorHAnsi" w:cs="Arial"/>
          <w:sz w:val="22"/>
          <w:szCs w:val="22"/>
        </w:rPr>
        <w:t xml:space="preserve"> ir pan.)</w:t>
      </w:r>
    </w:p>
    <w:p w14:paraId="64466273">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Gauti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5"/>
    <w:p w14:paraId="64466274">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64466275">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neturi teisės Projekte nurodyti </w:t>
      </w:r>
      <w:r>
        <w:rPr>
          <w:rFonts w:ascii="Arial" w:hAnsi="Arial" w:cs="Arial"/>
          <w:sz w:val="22"/>
          <w:szCs w:val="22"/>
        </w:rPr>
        <w:t xml:space="preserve">konkretaus modelio ar šaltinio, konkretaus proceso ar prekės ženklo, patento, tipų, konkrečios kilmės ar gamybos, dėl kurių tam tikroms įmonėms ar tam tikriems produktams būtų sudarytos palankesnės sąlygos arba jie būtų atmesti.</w:t>
      </w:r>
      <w:r>
        <w:rPr>
          <w:rFonts w:ascii="Arial" w:hAnsi="Arial" w:cs="Arial"/>
          <w:sz w:val="22"/>
          <w:szCs w:val="22"/>
          <w:lang w:eastAsia="lt-LT"/>
        </w:rPr>
        <w:t xml:space="preserve"> </w:t>
      </w:r>
      <w:r>
        <w:rPr>
          <w:rFonts w:ascii="Arial" w:hAnsi="Arial" w:cs="Arial"/>
          <w:sz w:val="22"/>
          <w:szCs w:val="22"/>
        </w:rPr>
        <w:t xml:space="preserve">Toks nurodymas yra leistinas išimties tvarka, kai pirkimo objekto yra neįmanoma tiksliai ir suprantamai apibūdinti. Šiuo atveju nurodymas pateikiamas įrašant žodžius „arba lygiavertis“;</w:t>
      </w:r>
    </w:p>
    <w:p w14:paraId="64466276">
      <w:pPr>
        <w:suppressAutoHyphens/>
        <w:spacing w:line="259" w:lineRule="auto"/>
        <w:ind w:left="567"/>
        <w:rPr>
          <w:rFonts w:ascii="Arial" w:hAnsi="Arial" w:cs="Arial"/>
          <w:sz w:val="22"/>
          <w:szCs w:val="22"/>
        </w:rPr>
      </w:pPr>
      <w:r>
        <w:rPr>
          <w:rFonts w:ascii="Arial" w:hAnsi="Arial" w:cs="Arial"/>
          <w:sz w:val="22"/>
          <w:szCs w:val="22"/>
          <w:lang w:eastAsia="lt-LT"/>
        </w:rPr>
        <w:t xml:space="preserve">Teikėjo Projekte nurodyti šiame punkte išvardyti konkretūs statybos gaminiai ir technologijos laikomi Projekto trūkumais.</w:t>
      </w:r>
    </w:p>
    <w:p w14:paraId="64466277">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Dokumentai turi atitikti ta</w:t>
      </w:r>
      <w:r>
        <w:rPr>
          <w:rFonts w:ascii="Arial" w:hAnsi="Arial" w:cs="Arial"/>
          <w:sz w:val="22"/>
          <w:szCs w:val="22"/>
        </w:rPr>
        <w:t xml:space="preserve">ikomo (pagal rengiamo dokumento rūšį) tvarkos aprašo reikalavimus. Aplinkosauginiuose dokumentuose, taip pat integruotoje projektinėje dalyje, turi būti pateikiamas detalus siūlomų neigiamą poveikį aplinkai mažinančių priemonių aprašymas, rekomendacijos jų projektavimui. Siūlomos priemonės turi būti homogeniškos su jau esamomis susijusiuose kelio ruožuose, tačiau nepasiteisinusi praktika nekartojama, o priemonės, sprendiniai tobulinami. Visos rekomenduojamos aplinkosauginės priemonės privalo būti kuo anksči</w:t>
      </w:r>
      <w:r>
        <w:rPr>
          <w:rFonts w:ascii="Arial" w:hAnsi="Arial" w:cs="Arial"/>
          <w:sz w:val="22"/>
          <w:szCs w:val="22"/>
        </w:rPr>
        <w:t xml:space="preserve">au įtrauktos į Projekto sprendinių kompleksą bei tikslinamos projektavimo metu. Rengiant aplinkosauginius dokumentus atlikti išsamią želdinių analizę, dokumentų rengimo stadijoje surinkti įmanomą informaciją pagal žemiau pateiktus reikalavimus. Rengiant privalomuosius aplinkosauginius dokumentus, prieš teikiant derinimui su atsakingomis institucijomis, pateikti Užsakovui peržiūrai (*.docx formatu).</w:t>
      </w:r>
    </w:p>
    <w:p w14:paraId="64466278">
      <w:pPr>
        <w:suppressAutoHyphens/>
        <w:spacing w:line="259" w:lineRule="auto"/>
        <w:ind w:left="567"/>
        <w:rPr>
          <w:rFonts w:ascii="Arial" w:hAnsi="Arial" w:cs="Arial"/>
          <w:sz w:val="22"/>
          <w:szCs w:val="22"/>
        </w:rPr>
      </w:pPr>
      <w:r>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privalomųjų aplinkosauginių dokumentų rengimą. Jei aplinkosauginiai dokumentai teisiškai neprivalomi, kuo anksčiau, pagrindžiant teisės aktų nuostatomis, informuoti Užsakovą. Jei tas pats Teikėjas rengia kelis susijusi</w:t>
      </w:r>
      <w:r>
        <w:rPr>
          <w:rFonts w:ascii="Arial" w:hAnsi="Arial" w:cs="Arial"/>
          <w:sz w:val="22"/>
          <w:szCs w:val="22"/>
        </w:rPr>
        <w:t xml:space="preserve">ų kelių </w:t>
      </w:r>
      <w:r>
        <w:rPr>
          <w:rFonts w:ascii="Arial" w:hAnsi="Arial" w:cs="Arial"/>
          <w:sz w:val="22"/>
          <w:szCs w:val="22"/>
        </w:rPr>
        <w:t xml:space="preserve">ruožų projektus (pagal atskiras sutartis), PAV procedūros turėtų būti sujungtos. Rengiant aplinkosauginius dokumentus ir informaciją, privalomas suminio poveikio vertinimas pagal PAV įstatymo 3 straipsnio 9 punktą.</w:t>
      </w:r>
    </w:p>
    <w:p w14:paraId="6446627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Savarankiškai apsirūpinti paslaugoms teikti reikalingais materialiniais ištekliais, atsakyti už blogą paslaugų kokybę.</w:t>
      </w:r>
    </w:p>
    <w:p w14:paraId="6446627A">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Visus techniniu, ekonominiu ir eismo saugos požiūriais optimalius projektinius sprendinius pateikti svarstyti ir derinti su Užsakovu. Užsakovui pareikalavus, pateikti pasirinkto projektinio (-ių) sprendinio (-ių) ekonominį pagrindimą.</w:t>
      </w:r>
    </w:p>
    <w:p w14:paraId="6446627B">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6446627C">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Laiku įspėti (raštiškai informuoti) Užsakovą dėl aplinkybių, kurios trukdo tinkamai ir laiku parengti statinio projektą.</w:t>
      </w:r>
    </w:p>
    <w:p w14:paraId="6446627D">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w:t>
      </w:r>
      <w:r>
        <w:rPr>
          <w:rFonts w:ascii="Arial" w:hAnsi="Arial" w:cs="Arial"/>
          <w:sz w:val="22"/>
          <w:szCs w:val="22"/>
        </w:rPr>
        <w:t xml:space="preserve">eikalavimus. Asmens duomenys – bet kuri informacija, susijusi su duomenų subjektu - fiziniu asmeniu, kurio tapatybė gali būti nustatyta.</w:t>
      </w:r>
    </w:p>
    <w:p w14:paraId="6446627E">
      <w:pPr>
        <w:suppressAutoHyphens/>
        <w:spacing/>
        <w:ind w:left="567"/>
        <w:rPr>
          <w:rFonts w:ascii="Arial" w:hAnsi="Arial" w:cs="Arial"/>
          <w:sz w:val="22"/>
          <w:szCs w:val="22"/>
        </w:rPr>
      </w:pPr>
      <w:r>
        <w:rPr>
          <w:rFonts w:ascii="Arial" w:hAnsi="Arial" w:cs="Arial"/>
          <w:sz w:val="22"/>
          <w:szCs w:val="22"/>
        </w:rPr>
        <w:t xml:space="preserve">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6446627F">
      <w:pPr>
        <w:suppressAutoHyphens/>
        <w:spacing/>
        <w:ind w:left="567"/>
        <w:rPr>
          <w:rFonts w:ascii="Arial" w:hAnsi="Arial" w:cs="Arial"/>
          <w:sz w:val="22"/>
          <w:szCs w:val="22"/>
        </w:rPr>
      </w:pPr>
      <w:r>
        <w:rPr>
          <w:rFonts w:ascii="Arial" w:hAnsi="Arial" w:cs="Arial"/>
          <w:sz w:val="22"/>
          <w:szCs w:val="22"/>
        </w:rPr>
        <w:t xml:space="preserve">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w:t>
      </w:r>
      <w:r>
        <w:rPr>
          <w:rFonts w:ascii="Arial" w:hAnsi="Arial" w:cs="Arial"/>
          <w:sz w:val="22"/>
          <w:szCs w:val="22"/>
        </w:rPr>
        <w:t xml:space="preserve">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4466280">
      <w:pPr>
        <w:suppressAutoHyphens/>
        <w:spacing/>
        <w:ind w:left="567"/>
        <w:rPr>
          <w:rFonts w:ascii="Arial" w:hAnsi="Arial" w:cs="Arial"/>
          <w:sz w:val="22"/>
          <w:szCs w:val="22"/>
        </w:rPr>
      </w:pPr>
      <w:r>
        <w:rPr>
          <w:rFonts w:ascii="Arial" w:hAnsi="Arial" w:cs="Arial"/>
          <w:sz w:val="22"/>
          <w:szCs w:val="22"/>
        </w:rPr>
        <w:t xml:space="preserve">Nėra asmens duomenų baigtinio sąrašo.</w:t>
      </w:r>
    </w:p>
    <w:p w14:paraId="64466281">
      <w:pPr>
        <w:suppressAutoHyphens/>
        <w:spacing/>
        <w:ind w:left="567"/>
        <w:rPr>
          <w:rFonts w:ascii="Arial" w:hAnsi="Arial" w:cs="Arial"/>
          <w:i/>
          <w:iCs/>
          <w:sz w:val="22"/>
          <w:szCs w:val="22"/>
        </w:rPr>
      </w:pPr>
      <w:r>
        <w:rPr>
          <w:rFonts w:ascii="Arial" w:hAnsi="Arial" w:cs="Arial"/>
          <w:i/>
          <w:iCs/>
          <w:sz w:val="22"/>
          <w:szCs w:val="22"/>
        </w:rPr>
        <w:t xml:space="preserve">*Šiuos duomenis galima rinkti ir naudoti tik esant tam tikroms sąlygoms, nurodytoms BDAR 6 ir 9 str., pvz., gavus aiškų sutikimą, jeigu tai leidžiama pagal nacionalinius įstatymus ir kt.;</w:t>
      </w:r>
    </w:p>
    <w:p w14:paraId="64466282">
      <w:pPr>
        <w:numPr>
          <w:ilvl w:val="1"/>
          <w:numId w:val="2"/>
        </w:numPr>
        <w:suppressAutoHyphens/>
        <w:spacing/>
        <w:ind w:left="567" w:firstLine="0"/>
        <w:rPr>
          <w:rFonts w:ascii="Arial" w:hAnsi="Arial" w:cs="Arial"/>
          <w:sz w:val="22"/>
          <w:szCs w:val="22"/>
        </w:rPr>
      </w:pPr>
      <w:r>
        <w:rPr>
          <w:rFonts w:ascii="Arial" w:hAnsi="Arial" w:cs="Arial"/>
          <w:sz w:val="22"/>
          <w:szCs w:val="22"/>
        </w:rPr>
        <w:t xml:space="preserve">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w:t>
      </w:r>
      <w:r>
        <w:rPr>
          <w:rFonts w:ascii="Arial" w:hAnsi="Arial" w:cs="Arial"/>
          <w:sz w:val="22"/>
          <w:szCs w:val="22"/>
        </w:rPr>
        <w:t xml:space="preserve">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64466283">
      <w:pPr>
        <w:numPr>
          <w:ilvl w:val="1"/>
          <w:numId w:val="2"/>
        </w:numPr>
        <w:suppressAutoHyphens/>
        <w:spacing/>
        <w:ind w:left="567" w:firstLine="0"/>
        <w:rPr>
          <w:rFonts w:ascii="Arial" w:hAnsi="Arial" w:cs="Arial"/>
          <w:sz w:val="22"/>
          <w:szCs w:val="22"/>
        </w:rPr>
      </w:pPr>
      <w:r>
        <w:rPr>
          <w:rFonts w:ascii="Arial" w:hAnsi="Arial" w:eastAsiaTheme="minorHAnsi" w:cs="Arial"/>
          <w:sz w:val="22"/>
          <w:szCs w:val="22"/>
        </w:rPr>
        <w:t xml:space="preserve">Teikiant projekto dokumentaciją rangos pirkimui, pateikti informaciją kaip atsižvelgta  dėl a</w:t>
      </w:r>
      <w:r>
        <w:rPr>
          <w:rFonts w:ascii="Arial" w:hAnsi="Arial" w:cs="Arial"/>
          <w:sz w:val="22"/>
          <w:szCs w:val="22"/>
        </w:rPr>
        <w:t xml:space="preserve">plinkos apsaugos kriterijų taikymo, vykdant žaliuosius pirkimus, pagal tvarkos aprašo reikalavimus, n</w:t>
      </w:r>
      <w:r>
        <w:rPr>
          <w:rFonts w:ascii="Arial" w:hAnsi="Arial" w:eastAsiaTheme="minorHAnsi" w:cs="Arial"/>
          <w:sz w:val="22"/>
          <w:szCs w:val="22"/>
        </w:rPr>
        <w:t xml:space="preserve">urodant projekto vietas, konkrečius skyrius, puslapius, darbų kiekių žiniaraščių eilutes, kur ši informacija pateikta.</w:t>
      </w:r>
    </w:p>
    <w:p w14:paraId="64466284">
      <w:pPr>
        <w:numPr>
          <w:ilvl w:val="1"/>
          <w:numId w:val="2"/>
        </w:numPr>
        <w:suppressAutoHyphens/>
        <w:spacing/>
        <w:ind w:left="567" w:firstLine="0"/>
        <w:rPr>
          <w:rFonts w:ascii="Arial" w:hAnsi="Arial" w:cs="Arial"/>
          <w:sz w:val="22"/>
          <w:szCs w:val="22"/>
        </w:rPr>
      </w:pPr>
      <w:r>
        <w:rPr>
          <w:rFonts w:ascii="Arial" w:hAnsi="Arial" w:cs="Arial"/>
          <w:sz w:val="22"/>
          <w:szCs w:val="22"/>
        </w:rPr>
        <w:t xml:space="preserve">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w:t>
      </w:r>
      <w:r>
        <w:rPr>
          <w:rFonts w:ascii="Arial" w:hAnsi="Arial" w:cs="Arial"/>
          <w:sz w:val="22"/>
          <w:szCs w:val="22"/>
        </w:rPr>
        <w:t xml:space="preserve">ūra (cpva.lt))  ir kartu turi būti parengta išvada dėl geriausios projekto įgyvendinimo alternatyvos (geriausios alternatyvos sąnaudų efektyvumo požiūriu). Skaičiuoklėje turi būti aprašytos projekto veiklos, </w:t>
      </w:r>
      <w:r>
        <w:rPr>
          <w:rFonts w:ascii="Arial" w:hAnsi="Arial" w:cs="Arial"/>
          <w:sz w:val="22"/>
          <w:szCs w:val="22"/>
        </w:rPr>
        <w:t xml:space="preserve">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w:t>
      </w:r>
      <w:r>
        <w:rPr>
          <w:rFonts w:ascii="Arial" w:hAnsi="Arial" w:cs="Arial"/>
          <w:sz w:val="22"/>
          <w:szCs w:val="22"/>
        </w:rPr>
        <w:t xml:space="preserve"> kurios leistų įsitikinti 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64466285">
      <w:pPr>
        <w:suppressAutoHyphens/>
        <w:spacing/>
        <w:ind w:left="567"/>
        <w:rPr>
          <w:rFonts w:ascii="Arial" w:hAnsi="Arial" w:cs="Arial"/>
          <w:sz w:val="22"/>
          <w:szCs w:val="22"/>
        </w:rPr>
      </w:pPr>
      <w:r>
        <w:rPr>
          <w:rFonts w:ascii="Arial" w:hAnsi="Arial" w:cs="Arial"/>
          <w:sz w:val="22"/>
          <w:szCs w:val="22"/>
        </w:rPr>
        <w:t xml:space="preserve">Ekonominės dalies tekstas su išvadomis, pagrindžiančiomis alternatyvos pasirinkimą, Užsakovui turi būti pateiktas MC word formatu, o Investicijų skaičiuoklė su skaičiavimų rezultatais turi būti pateikta xlsm formatu, ir abi minėtos dalys turi būti pateikiamos kartu.</w:t>
      </w:r>
    </w:p>
    <w:p w14:paraId="64466286">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Kai viešinimo procedūros būtinos pagal teisės aktus, informuoti Užsakovą apie numatyto projektinių sprendinių viešojo susirinkimo datą ir laiką ne mažiau kaip prieš 5 (penkias) darbo dienas, kartu pateikiant projektinę viešinimo dokumentaciją.</w:t>
      </w:r>
    </w:p>
    <w:p w14:paraId="64466287">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w:t>
      </w:r>
      <w:r>
        <w:rPr>
          <w:rFonts w:ascii="Arial" w:hAnsi="Arial" w:cs="Arial"/>
          <w:sz w:val="22"/>
          <w:szCs w:val="22"/>
        </w:rPr>
        <w:t xml:space="preserve">ikta lentelė, nurodant vietą kelio Pk ir sklypų ir/ar statinių kadastrinius numerius) bei teisinis pagrindas jiems įgyvendinti.</w:t>
      </w:r>
    </w:p>
    <w:p w14:paraId="64466288">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w:t>
      </w:r>
      <w:r>
        <w:rPr>
          <w:rFonts w:ascii="Arial" w:hAnsi="Arial" w:cs="Arial"/>
          <w:sz w:val="22"/>
          <w:szCs w:val="22"/>
        </w:rPr>
        <w:t xml:space="preserve">o statinio sklypu besiribojančių sklypų ribos ir kadastriniai numeriai.</w:t>
      </w:r>
    </w:p>
    <w:p w14:paraId="6446628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(.dwg formatu), kuriame būtų aiškiai grafiškai pažymėta kuriose vietose kelio statinio projektiniai sprend</w:t>
      </w:r>
      <w:r>
        <w:rPr>
          <w:rFonts w:ascii="Arial" w:hAnsi="Arial" w:cs="Arial"/>
          <w:sz w:val="22"/>
          <w:szCs w:val="22"/>
        </w:rPr>
        <w:t xml:space="preserve">iniai „netelpa“ įregistruoto kelio statinio ribose ir patenka į laisvą valstybinę žemę.</w:t>
      </w:r>
    </w:p>
    <w:p w14:paraId="6446628A">
      <w:pPr>
        <w:numPr>
          <w:ilvl w:val="1"/>
          <w:numId w:val="2"/>
        </w:numPr>
        <w:suppressAutoHyphens/>
        <w:spacing w:line="259" w:lineRule="auto"/>
        <w:ind w:left="567" w:firstLine="0"/>
        <w:rPr>
          <w:rFonts w:ascii="Arial" w:hAnsi="Arial" w:cs="Arial"/>
          <w:sz w:val="22"/>
          <w:szCs w:val="22"/>
          <w:lang w:eastAsia="lt-LT"/>
        </w:rPr>
      </w:pPr>
      <w:r>
        <w:rPr>
          <w:rFonts w:ascii="Arial" w:hAnsi="Arial" w:cs="Arial"/>
          <w:sz w:val="22"/>
          <w:szCs w:val="22"/>
          <w:lang w:eastAsia="lt-LT"/>
        </w:rPr>
        <w:t xml:space="preserve">Oficialiu raštu Informuoti dėl nelegalių statinių – išanalizavus esamą situaciją ir nustačius, kad kelio sklype/statinyje yra kitų statinių (tvoros, paminklai, kryžiai, paminkliniai akmenys ir kt.) turi būti pateikta informacija </w:t>
      </w:r>
      <w:r>
        <w:rPr>
          <w:rFonts w:ascii="Arial" w:hAnsi="Arial" w:cs="Arial"/>
          <w:sz w:val="22"/>
          <w:szCs w:val="22"/>
        </w:rPr>
        <w:t xml:space="preserve">Užsakovui</w:t>
      </w:r>
      <w:r>
        <w:rPr>
          <w:rFonts w:ascii="Arial" w:hAnsi="Arial" w:cs="Arial"/>
          <w:sz w:val="22"/>
          <w:szCs w:val="22"/>
          <w:lang w:eastAsia="lt-LT"/>
        </w:rPr>
        <w:t xml:space="preserve">:</w:t>
      </w:r>
    </w:p>
    <w:p w14:paraId="6446628B">
      <w:pPr>
        <w:numPr>
          <w:ilvl w:val="2"/>
          <w:numId w:val="4"/>
        </w:numPr>
        <w:spacing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statinio projekto, kurį rengiant buvo nustatyta, kad </w:t>
      </w:r>
      <w:r>
        <w:rPr>
          <w:rFonts w:ascii="Arial" w:hAnsi="Arial" w:cs="Arial"/>
          <w:sz w:val="22"/>
          <w:szCs w:val="22"/>
        </w:rPr>
        <w:t xml:space="preserve">Užsakovo</w:t>
      </w:r>
      <w:r>
        <w:rPr>
          <w:rFonts w:ascii="Arial" w:hAnsi="Arial" w:cs="Arial"/>
          <w:sz w:val="22"/>
          <w:szCs w:val="22"/>
          <w:lang w:eastAsia="lt-LT"/>
        </w:rPr>
        <w:t xml:space="preserve"> keliuose stovi kitiems asmenims nuosavybės teise priklausantys statiniai, pavadinimas; </w:t>
      </w:r>
    </w:p>
    <w:p w14:paraId="6446628C">
      <w:pPr>
        <w:numPr>
          <w:ilvl w:val="2"/>
          <w:numId w:val="4"/>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sklypų, šalia kurių stovi statiniai, unikalūs (kadastriniai) numeriai; </w:t>
      </w:r>
    </w:p>
    <w:p w14:paraId="6446628D">
      <w:pPr>
        <w:numPr>
          <w:ilvl w:val="2"/>
          <w:numId w:val="4"/>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valstybinės reikšmės kelio Nr., pavadinimas, unikalus Nr.;</w:t>
      </w:r>
    </w:p>
    <w:p w14:paraId="6446628E">
      <w:pPr>
        <w:numPr>
          <w:ilvl w:val="2"/>
          <w:numId w:val="4"/>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žemės sklypo, kurį užima valstybinės reikšmės kelias, unikalus Nr.;</w:t>
      </w:r>
    </w:p>
    <w:p w14:paraId="6446628F">
      <w:pPr>
        <w:numPr>
          <w:ilvl w:val="2"/>
          <w:numId w:val="4"/>
        </w:numPr>
        <w:spacing w:after="160" w:line="259" w:lineRule="auto"/>
        <w:ind w:left="1276" w:hanging="425"/>
        <w:contextualSpacing/>
        <w:rPr>
          <w:rFonts w:ascii="Arial" w:hAnsi="Arial" w:cs="Arial"/>
          <w:sz w:val="22"/>
          <w:szCs w:val="22"/>
          <w:lang w:eastAsia="lt-LT"/>
        </w:rPr>
      </w:pPr>
      <w:r>
        <w:rPr>
          <w:rFonts w:ascii="Arial" w:hAnsi="Arial" w:cs="Arial"/>
          <w:sz w:val="22"/>
          <w:szCs w:val="22"/>
          <w:lang w:eastAsia="lt-LT"/>
        </w:rPr>
        <w:t xml:space="preserve">situacijos schemos iš projektinių sprendinių.</w:t>
      </w:r>
    </w:p>
    <w:p w14:paraId="64466290">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Pasikeitus įstatymų ir kitų teisės aktų nuostatoms ir reikalavimams, reglamentuojantiems perkamų paslaugų / darbų vykdymą, vadovautis galiojančiais teisės aktais, tačiau tik informavus ir suderinus su Užsakovu.</w:t>
      </w:r>
    </w:p>
    <w:p w14:paraId="64466291">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64466292">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BIM arba duomenų rinkiniai turi būti pilnai parengti pagal Techninės užduoties priedo „Statinio informacinio modeliavimo reikalavimai“ nurodymus, kuriuose apibrėžiama projektinių pasiūlymų sudėtis ir turinys (Priedas Nr.9).</w:t>
      </w:r>
    </w:p>
    <w:p w14:paraId="64466293">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Turi būti užpildytas pridedamas statinio fizinių rodiklių sąrašas (Priedas Nr.5).</w:t>
      </w:r>
    </w:p>
    <w:p w14:paraId="64466294">
      <w:pPr>
        <w:numPr>
          <w:ilvl w:val="1"/>
          <w:numId w:val="2"/>
        </w:numPr>
        <w:tabs>
          <w:tab w:val="left" w:pos="720"/>
        </w:tabs>
        <w:suppressAutoHyphens/>
        <w:spacing w:line="259" w:lineRule="auto"/>
        <w:ind w:left="567" w:firstLine="0"/>
        <w:rPr>
          <w:rFonts w:ascii="Arial" w:hAnsi="Arial" w:cs="Arial"/>
          <w:sz w:val="22"/>
          <w:szCs w:val="22"/>
        </w:rPr>
      </w:pPr>
      <w:r>
        <w:rPr>
          <w:rFonts w:ascii="Arial" w:hAnsi="Arial" w:cs="Arial"/>
          <w:sz w:val="22"/>
          <w:szCs w:val="22"/>
        </w:rPr>
        <w:t xml:space="preserve">Teikėjas turi parengti suvestinį darbų kiekių žiniaraštį ir statinio statybos skaičiuojamąją kainą „sustambintais įkainiais“;.</w:t>
      </w:r>
    </w:p>
    <w:p w14:paraId="64466295">
      <w:pPr>
        <w:pStyle w:val="ListParagraph"/>
        <w:numPr>
          <w:ilvl w:val="1"/>
          <w:numId w:val="2"/>
        </w:numPr>
        <w:spacing/>
        <w:ind w:left="567" w:firstLine="0"/>
        <w:jc w:val="both"/>
        <w:rPr>
          <w:rFonts w:ascii="Arial" w:hAnsi="Arial" w:eastAsia="Times New Roman" w:cs="Arial"/>
          <w:sz w:val="22"/>
        </w:rPr>
      </w:pPr>
      <w:r>
        <w:rPr>
          <w:rFonts w:ascii="Arial" w:hAnsi="Arial" w:eastAsia="Times New Roman" w:cs="Arial"/>
          <w:sz w:val="22"/>
        </w:rPr>
        <w:t xml:space="preserve">Suvestiniame darbų kiekių žiniaraštyje turi būti nuorodos į Techninę specifikaciją, nurodant konkrečia specifikacijos vietą (skyriaus Nr., punktas ir pan.).</w:t>
      </w:r>
    </w:p>
    <w:p w14:paraId="64466296">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Teikėjui draudžiama skelbti duomenis apie projektą (statybos skaičiuojamąją kainą) tretiesiems asmenims.</w:t>
      </w:r>
    </w:p>
    <w:p w14:paraId="64466297">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„Automobi</w:t>
      </w:r>
      <w:r>
        <w:rPr>
          <w:rFonts w:ascii="Arial" w:hAnsi="Arial" w:cs="Arial"/>
          <w:sz w:val="22"/>
          <w:szCs w:val="22"/>
        </w:rPr>
        <w:t xml:space="preserve">lių kelių standartizuotų dangų konstrukcijų projektavimo taisyklių“, reikalavimus.</w:t>
      </w:r>
    </w:p>
    <w:p w14:paraId="64466298">
      <w:pPr>
        <w:suppressAutoHyphens/>
        <w:spacing w:line="259" w:lineRule="auto"/>
        <w:ind w:left="567"/>
        <w:rPr>
          <w:rFonts w:ascii="Arial" w:hAnsi="Arial" w:cs="Arial"/>
          <w:sz w:val="22"/>
          <w:szCs w:val="22"/>
        </w:rPr>
      </w:pPr>
      <w:r>
        <w:rPr>
          <w:rFonts w:ascii="Arial" w:hAnsi="Arial" w:cs="Arial"/>
          <w:sz w:val="22"/>
          <w:szCs w:val="22"/>
        </w:rPr>
        <w:t xml:space="preserve">Po projekto parengimo, Užsakovui pareikalavus, ne daugiau nei du kartus perskaičiuoti visos apimties projekto skaičiuojamąją kainą ir pateikti Užsakovui.</w:t>
      </w:r>
    </w:p>
    <w:p w14:paraId="64466299">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Gauti statybą leidžiantį dokumentą ir apmokėti įmokas susijusias su statybos leidimo gavimu (kai tai būtina Lietuvos Respublikos teisės aktų nustatyta tvarka).</w:t>
      </w:r>
    </w:p>
    <w:p w14:paraId="6446629A">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Sutartyje nustatytais terminais ir tvarka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w:t>
      </w:r>
      <w:r>
        <w:rPr>
          <w:rFonts w:ascii="Arial" w:hAnsi="Arial" w:cs="Arial"/>
          <w:sz w:val="22"/>
          <w:szCs w:val="22"/>
        </w:rPr>
        <w:t xml:space="preserve">orminti vadovaujantis LST 1516. Projekto žymenyje turi būti nurodytas kelio numeris ir statybos rūšis.</w:t>
      </w:r>
    </w:p>
    <w:p w14:paraId="6446629B">
      <w:pPr>
        <w:suppressAutoHyphens/>
        <w:spacing/>
        <w:ind w:left="567"/>
        <w:rPr>
          <w:rFonts w:ascii="Arial" w:hAnsi="Arial" w:cs="Arial"/>
          <w:sz w:val="22"/>
          <w:szCs w:val="22"/>
        </w:rPr>
      </w:pPr>
      <w:r>
        <w:rPr>
          <w:rFonts w:ascii="Arial" w:hAnsi="Arial" w:cs="Arial"/>
          <w:sz w:val="22"/>
          <w:szCs w:val="22"/>
        </w:rPr>
        <w:t xml:space="preserve">Teikėjas įsipareigoja pateikti 1 (vieną) popierinę projekto kopiją tik jei Užsakovas nurodys tai padaryti.</w:t>
      </w:r>
    </w:p>
    <w:p w14:paraId="6446629C">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Teikėjas privalo parengti darbų kiekių žiniaraštį (toliau – žiniaraštis), kuris rengiamas pagal standartizuotus elementus. Kartu turi būti parengtas įkainotas darbų kiekių žiniaraštis excel formatu (Priedas Nr.7), atitinkantis Projekto sprendinius. Pagrindinės gairės žiniaraščio pildymui:</w:t>
      </w:r>
    </w:p>
    <w:p w14:paraId="6446629D">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darbų pavadinimai nebūtinai turi atitikti pasirinktų standartizuotų elementų pavadinimus, jie gali būti tikslinami, atsižvelgiant į darbų specifiką (pavadinimo ilgis negali viršyti 100 ženklų);</w:t>
      </w:r>
    </w:p>
    <w:p w14:paraId="6446629E">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6446629F">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atskiras stulpelis, kuriame nurodomas standartizuoto sąmatos elemento kodas;</w:t>
      </w:r>
    </w:p>
    <w:p w14:paraId="644662A0">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p>
    <w:p w14:paraId="644662A1">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medžiagų ar darbų kiekiai turi būti nurodyti dviejų skaičių po kablelio tikslumu;</w:t>
      </w:r>
    </w:p>
    <w:p w14:paraId="644662A2">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jei projekte buvo nurodyti konkretūs medžiagų, pakartotinai naudojamų medžiagų, negrąžinamų medžiagų ar statybinių atliekų išvežimo atstumai, pildant žiniaraščius konkretūs km nerašomi, o rašoma „.....išvežimas rangovo pasirinktu atstumu“;</w:t>
      </w:r>
    </w:p>
    <w:p w14:paraId="644662A3">
      <w:pPr>
        <w:numPr>
          <w:ilvl w:val="0"/>
          <w:numId w:val="46"/>
        </w:numPr>
        <w:suppressAutoHyphens/>
        <w:spacing w:line="259" w:lineRule="auto"/>
        <w:ind w:left="1276" w:hanging="425"/>
        <w:rPr>
          <w:rFonts w:ascii="Arial" w:hAnsi="Arial" w:cs="Arial"/>
          <w:sz w:val="22"/>
          <w:szCs w:val="22"/>
        </w:rPr>
      </w:pPr>
      <w:r>
        <w:rPr>
          <w:rFonts w:ascii="Arial" w:hAnsi="Arial" w:cs="Arial"/>
          <w:sz w:val="22"/>
          <w:szCs w:val="22"/>
        </w:rPr>
        <w:t xml:space="preserve">kiekiai negali būti rašomi su minuso ženklu (taikoma negrąžinamoms medžiagoms).</w:t>
      </w:r>
    </w:p>
    <w:p w14:paraId="644662A4">
      <w:pPr>
        <w:suppressAutoHyphens/>
        <w:spacing w:line="259" w:lineRule="auto"/>
        <w:ind w:left="567"/>
        <w:rPr>
          <w:rFonts w:ascii="Arial" w:hAnsi="Arial" w:cs="Arial"/>
          <w:sz w:val="22"/>
          <w:szCs w:val="22"/>
        </w:rPr>
      </w:pPr>
      <w:r>
        <w:rPr>
          <w:rFonts w:ascii="Arial" w:hAnsi="Arial" w:cs="Arial"/>
          <w:sz w:val="22"/>
          <w:szCs w:val="22"/>
        </w:rPr>
        <w:t xml:space="preserve">Teikėjo atsakomybė įkainoto darbų kiekių žiniaraščio informaciją suvesti Valstybinės ir vietinės reikšmės kelių turto valdymo informacinėje sistemoje </w:t>
      </w:r>
      <w:r>
        <w:rPr/>
        <w:fldChar w:fldCharType="begin"/>
      </w:r>
      <w:r>
        <w:rPr/>
        <w:instrText xml:space="preserve">HYPERLINK "https://ktvis.lt/ktvis" </w:instrText>
      </w:r>
      <w:r>
        <w:rPr/>
        <w:fldChar w:fldCharType="separate"/>
      </w:r>
      <w:r>
        <w:rPr>
          <w:rStyle w:val="Hyperlink"/>
          <w:rFonts w:ascii="Arial" w:hAnsi="Arial" w:cs="Arial"/>
          <w:color w:val="auto"/>
          <w:sz w:val="22"/>
          <w:szCs w:val="22"/>
        </w:rPr>
        <w:t xml:space="preserve">https://ktvis.lt/ktvis</w:t>
      </w:r>
      <w:r>
        <w:rPr/>
        <w:fldChar w:fldCharType="end"/>
      </w:r>
      <w:r>
        <w:rPr>
          <w:rFonts w:ascii="Arial" w:hAnsi="Arial" w:cs="Arial"/>
          <w:sz w:val="22"/>
          <w:szCs w:val="22"/>
        </w:rPr>
        <w:t xml:space="preserve"> (esant techninėms galimybėms). </w:t>
      </w:r>
    </w:p>
    <w:p w14:paraId="644662A5">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Visi eismo organizavimo sprendiniai turi būti suderinti su Užsakovu, teikiant duomenis </w:t>
      </w:r>
      <w:r>
        <w:rPr>
          <w:rFonts w:ascii="Arial" w:hAnsi="Arial" w:cs="Arial"/>
          <w:sz w:val="22"/>
          <w:szCs w:val="22"/>
        </w:rPr>
        <w:t xml:space="preserve">el.paštu</w:t>
      </w:r>
      <w:r>
        <w:rPr>
          <w:rFonts w:ascii="Arial" w:hAnsi="Arial" w:cs="Arial"/>
          <w:sz w:val="22"/>
          <w:szCs w:val="22"/>
        </w:rPr>
        <w:t xml:space="preserve"> </w:t>
      </w:r>
      <w:r>
        <w:rPr/>
        <w:fldChar w:fldCharType="begin"/>
      </w:r>
      <w:r>
        <w:rPr/>
        <w:instrText xml:space="preserve">HYPERLINK "mailto:eos@vialietuva.lt" </w:instrText>
      </w:r>
      <w:r>
        <w:rPr/>
        <w:fldChar w:fldCharType="separate"/>
      </w:r>
      <w:r>
        <w:rPr>
          <w:rStyle w:val="Hyperlink"/>
          <w:rFonts w:ascii="Arial" w:hAnsi="Arial" w:cs="Arial"/>
          <w:color w:val="auto"/>
          <w:sz w:val="22"/>
          <w:szCs w:val="22"/>
        </w:rPr>
        <w:t xml:space="preserve">eos</w:t>
      </w:r>
      <w:r>
        <w:rPr>
          <w:rStyle w:val="Hyperlink"/>
          <w:rFonts w:ascii="Arial" w:hAnsi="Arial" w:cs="Arial"/>
          <w:color w:val="auto"/>
          <w:sz w:val="22"/>
          <w:szCs w:val="22"/>
          <w:lang w:val="en-US"/>
        </w:rPr>
        <w:t xml:space="preserve">@vialietuva.lt</w:t>
      </w:r>
      <w:r>
        <w:rPr/>
        <w:fldChar w:fldCharType="end"/>
      </w:r>
      <w:r>
        <w:rPr>
          <w:rFonts w:ascii="Arial" w:hAnsi="Arial" w:cs="Arial"/>
          <w:sz w:val="22"/>
          <w:szCs w:val="22"/>
          <w:lang w:val="en-US"/>
        </w:rPr>
        <w:t xml:space="preserve">.</w:t>
      </w:r>
    </w:p>
    <w:p w14:paraId="644662A6">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Transporto srautų modeliavimą atlikti pagal pateikto priedo reikalavimus.</w:t>
      </w:r>
    </w:p>
    <w:p w14:paraId="644662A7">
      <w:pPr>
        <w:suppressAutoHyphens/>
        <w:spacing w:line="259" w:lineRule="auto"/>
        <w:rPr>
          <w:rFonts w:ascii="Arial" w:hAnsi="Arial" w:cs="Arial"/>
          <w:sz w:val="22"/>
          <w:szCs w:val="22"/>
          <w:lang w:val="en-US"/>
        </w:rPr>
      </w:pPr>
    </w:p>
    <w:p w14:paraId="644662A8">
      <w:pPr>
        <w:suppressAutoHyphens/>
        <w:spacing w:line="259" w:lineRule="auto"/>
        <w:rPr>
          <w:rFonts w:ascii="Arial" w:hAnsi="Arial" w:cs="Arial"/>
          <w:sz w:val="22"/>
          <w:szCs w:val="22"/>
        </w:rPr>
      </w:pPr>
    </w:p>
    <w:p w14:paraId="644662A9">
      <w:pPr>
        <w:suppressAutoHyphens/>
        <w:spacing w:line="259" w:lineRule="auto"/>
        <w:ind w:left="567"/>
        <w:rPr>
          <w:rFonts w:ascii="Arial" w:hAnsi="Arial" w:cs="Arial"/>
          <w:sz w:val="22"/>
          <w:szCs w:val="22"/>
        </w:rPr>
      </w:pPr>
    </w:p>
    <w:p w14:paraId="644662AA">
      <w:pPr>
        <w:numPr>
          <w:ilvl w:val="0"/>
          <w:numId w:val="2"/>
        </w:numPr>
        <w:suppressAutoHyphens/>
        <w:spacing w:before="120" w:after="120" w:line="259" w:lineRule="auto"/>
        <w:ind w:left="567" w:firstLine="0"/>
        <w:rPr>
          <w:rFonts w:ascii="Arial" w:hAnsi="Arial" w:cs="Arial"/>
          <w:b/>
          <w:sz w:val="22"/>
          <w:szCs w:val="22"/>
        </w:rPr>
      </w:pPr>
      <w:r>
        <w:rPr>
          <w:rFonts w:ascii="Arial" w:hAnsi="Arial" w:cs="Arial"/>
          <w:b/>
          <w:sz w:val="22"/>
          <w:szCs w:val="22"/>
        </w:rPr>
        <w:t xml:space="preserve">AUDITAS IR PROJEKTO EKSPERTIZĖ</w:t>
      </w:r>
    </w:p>
    <w:p w14:paraId="644662AB">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privalo parengti </w:t>
      </w:r>
      <w:r>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644662AC">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w:t>
      </w:r>
      <w:r>
        <w:rPr>
          <w:rFonts w:ascii="Arial" w:hAnsi="Arial" w:cs="Arial"/>
          <w:sz w:val="22"/>
          <w:szCs w:val="22"/>
          <w:lang w:eastAsia="lt-LT"/>
        </w:rPr>
        <w:t xml:space="preserve">us įsakymu patvirtinti Projektą.</w:t>
      </w:r>
    </w:p>
    <w:p w14:paraId="644662AD">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savo sąskaita pataisyti Projektą pagal ekspertizės akte nurodytas privalomas pastabas </w:t>
      </w:r>
      <w:r>
        <w:rPr>
          <w:rFonts w:ascii="Arial" w:hAnsi="Arial" w:cs="Arial"/>
          <w:sz w:val="22"/>
          <w:szCs w:val="22"/>
        </w:rPr>
        <w:t xml:space="preserve">ir pateikti Užsakovui. Šis Teikėjo įsipareigojimas nepaneigia Teikėjo pareigos mokėti delspinigius, nurodytus Sutartyje, taip pat pareigos atlyginti Užsakovo patirtas išlaidas papildomoms paslaugoms apmokėti.</w:t>
      </w:r>
    </w:p>
    <w:p w14:paraId="644662AE">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Pr>
          <w:rFonts w:ascii="Arial" w:hAnsi="Arial" w:cs="Arial"/>
          <w:sz w:val="22"/>
          <w:szCs w:val="22"/>
          <w:lang w:eastAsia="lt-LT"/>
        </w:rPr>
        <w:t xml:space="preserve">Teikėjui pagal Sutartį mokėtinų sumų.</w:t>
      </w:r>
    </w:p>
    <w:p w14:paraId="644662AF">
      <w:pPr>
        <w:numPr>
          <w:ilvl w:val="0"/>
          <w:numId w:val="2"/>
        </w:numPr>
        <w:suppressAutoHyphens/>
        <w:spacing w:before="120" w:after="120" w:line="259" w:lineRule="auto"/>
        <w:ind w:left="567" w:firstLine="0"/>
        <w:rPr>
          <w:rFonts w:ascii="Arial" w:hAnsi="Arial" w:cs="Arial"/>
          <w:sz w:val="22"/>
          <w:szCs w:val="22"/>
        </w:rPr>
      </w:pPr>
      <w:r>
        <w:rPr>
          <w:rFonts w:ascii="Arial" w:hAnsi="Arial" w:cs="Arial"/>
          <w:b/>
          <w:sz w:val="22"/>
          <w:szCs w:val="22"/>
        </w:rPr>
        <w:t xml:space="preserve">PROJEKTO PRIEŽIŪRA</w:t>
      </w:r>
    </w:p>
    <w:p w14:paraId="644662B0">
      <w:pPr>
        <w:numPr>
          <w:ilvl w:val="1"/>
          <w:numId w:val="2"/>
        </w:numPr>
        <w:suppressAutoHyphens/>
        <w:spacing w:line="259" w:lineRule="auto"/>
        <w:ind w:left="567" w:firstLine="0"/>
        <w:rPr>
          <w:rFonts w:ascii="Arial" w:hAnsi="Arial" w:cs="Arial"/>
          <w:sz w:val="22"/>
          <w:szCs w:val="22"/>
        </w:rPr>
      </w:pPr>
      <w:r>
        <w:rPr>
          <w:rFonts w:ascii="Arial" w:hAnsi="Arial" w:cs="Arial"/>
          <w:sz w:val="22"/>
          <w:szCs w:val="22"/>
          <w:lang w:eastAsia="lt-LT"/>
        </w:rPr>
        <w:t xml:space="preserve">Teikėjas įsipareigoja teikti Projekto priežiūros paslaugas, kurios apima P</w:t>
      </w:r>
      <w:r>
        <w:rPr>
          <w:rFonts w:ascii="Arial" w:hAnsi="Arial" w:cs="Arial"/>
          <w:sz w:val="22"/>
          <w:szCs w:val="22"/>
        </w:rPr>
        <w:t xml:space="preserve">rojekto neaiškumų, praleidimų ištaisymą, argumentuotus atsakymus į klausimus rangos darbų viešojo konkurso metu ir kitos su Projektu susijusios informacijos teikimą Sutartyje nustatyta tvarka ir terminais</w:t>
      </w:r>
      <w:r>
        <w:rPr>
          <w:rFonts w:ascii="Arial" w:hAnsi="Arial" w:cs="Arial"/>
          <w:sz w:val="22"/>
          <w:szCs w:val="22"/>
          <w:lang w:eastAsia="lt-LT"/>
        </w:rPr>
        <w:t xml:space="preserve">.</w:t>
      </w:r>
    </w:p>
    <w:p w14:paraId="644662B1">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Rangos darbų pirkimo vykdymo metu gautus klausimus, susijusius su projektu, atsakyti ne vėliau kaip per 3 d. d.</w:t>
      </w:r>
    </w:p>
    <w:p w14:paraId="644662B2">
      <w:pPr>
        <w:numPr>
          <w:ilvl w:val="1"/>
          <w:numId w:val="2"/>
        </w:numPr>
        <w:suppressAutoHyphens/>
        <w:spacing w:line="259" w:lineRule="auto"/>
        <w:ind w:left="567" w:firstLine="0"/>
        <w:rPr>
          <w:rFonts w:ascii="Arial" w:hAnsi="Arial" w:cs="Arial"/>
          <w:sz w:val="22"/>
          <w:szCs w:val="22"/>
        </w:rPr>
      </w:pPr>
      <w:r>
        <w:rPr>
          <w:rFonts w:ascii="Arial" w:hAnsi="Arial" w:cs="Arial"/>
          <w:sz w:val="22"/>
          <w:szCs w:val="22"/>
          <w:shd w:val="clear" w:color="auto" w:fill="FFFFFF"/>
        </w:rPr>
        <w:t xml:space="preserve">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Pr>
          <w:rFonts w:ascii="Arial" w:hAnsi="Arial" w:cs="Arial"/>
          <w:sz w:val="22"/>
          <w:szCs w:val="22"/>
        </w:rPr>
        <w:t xml:space="preserve">. </w:t>
      </w:r>
      <w:bookmarkStart w:id="6" w:name="_Hlk191907621"/>
      <w:r>
        <w:rPr>
          <w:rFonts w:ascii="Arial" w:hAnsi="Arial" w:cs="Arial"/>
          <w:sz w:val="22"/>
          <w:szCs w:val="22"/>
        </w:rPr>
        <w:t xml:space="preserve">Patikslintas projektas  nauja laida (ar projekto dalis) turi būti pateikta pagal pridedamą formą (Priedas Nr.3) ir vadovaujantis naujų projekto laidų parengimo gairėmis (Priedas Nr.6).</w:t>
      </w:r>
    </w:p>
    <w:bookmarkEnd w:id="6"/>
    <w:p w14:paraId="644662B3">
      <w:pPr>
        <w:numPr>
          <w:ilvl w:val="0"/>
          <w:numId w:val="2"/>
        </w:numPr>
        <w:suppressAutoHyphens/>
        <w:spacing w:before="120" w:after="120" w:line="259" w:lineRule="auto"/>
        <w:ind w:left="1276" w:hanging="709"/>
        <w:jc w:val="left"/>
        <w:rPr>
          <w:rFonts w:ascii="Arial" w:hAnsi="Arial" w:cs="Arial"/>
          <w:i/>
          <w:iCs/>
          <w:sz w:val="22"/>
          <w:szCs w:val="22"/>
        </w:rPr>
      </w:pPr>
      <w:r>
        <w:rPr>
          <w:rFonts w:ascii="Arial" w:hAnsi="Arial" w:cs="Arial"/>
          <w:b/>
          <w:bCs/>
          <w:sz w:val="22"/>
          <w:szCs w:val="22"/>
        </w:rPr>
        <w:t xml:space="preserve">PROJEKTAVIMO PASLAUGOS IR JŲ TEIKIMO TVARKA</w:t>
      </w:r>
    </w:p>
    <w:p w14:paraId="644662B4">
      <w:pPr>
        <w:numPr>
          <w:ilvl w:val="1"/>
          <w:numId w:val="2"/>
        </w:numPr>
        <w:suppressAutoHyphens/>
        <w:spacing w:before="120" w:after="160" w:line="259" w:lineRule="auto"/>
        <w:ind w:left="567" w:firstLine="0"/>
        <w:contextualSpacing/>
        <w:rPr>
          <w:rFonts w:ascii="Arial" w:hAnsi="Arial" w:cs="Arial"/>
          <w:i/>
          <w:iCs/>
          <w:color w:val="171717"/>
          <w:sz w:val="22"/>
          <w:szCs w:val="22"/>
        </w:rPr>
      </w:pPr>
      <w:bookmarkStart w:id="7" w:name="_Hlk58431915"/>
      <w:r>
        <w:rPr>
          <w:rFonts w:ascii="Arial" w:hAnsi="Arial" w:cs="Arial"/>
          <w:sz w:val="22"/>
          <w:szCs w:val="22"/>
        </w:rPr>
        <w:t xml:space="preserve">Statybinių inžinerinių geodezinių ir geologinių bei kitų tyrinėjimų atlikimas pagal techninės </w:t>
      </w:r>
      <w:r>
        <w:rPr>
          <w:rFonts w:ascii="Arial" w:hAnsi="Arial" w:cs="Arial"/>
          <w:color w:val="171717"/>
          <w:sz w:val="22"/>
          <w:szCs w:val="22"/>
        </w:rPr>
        <w:t xml:space="preserve">specifikacijos reikalavimus.</w:t>
      </w:r>
    </w:p>
    <w:p w14:paraId="644662B5">
      <w:pPr>
        <w:numPr>
          <w:ilvl w:val="1"/>
          <w:numId w:val="2"/>
        </w:numPr>
        <w:suppressAutoHyphens/>
        <w:spacing w:before="120" w:after="160" w:line="259" w:lineRule="auto"/>
        <w:ind w:left="567" w:firstLine="0"/>
        <w:contextualSpacing/>
        <w:rPr>
          <w:rFonts w:ascii="Arial" w:hAnsi="Arial" w:cs="Arial"/>
          <w:color w:val="171717"/>
          <w:sz w:val="22"/>
          <w:szCs w:val="22"/>
        </w:rPr>
      </w:pPr>
      <w:r>
        <w:rPr>
          <w:rFonts w:ascii="Arial" w:hAnsi="Arial" w:cs="Arial"/>
          <w:color w:val="171717"/>
          <w:sz w:val="22"/>
          <w:szCs w:val="22"/>
        </w:rPr>
        <w:t xml:space="preserve">Projektinių sprendinių (36,85 km ir 37,10 km sankryžų) eismo srautų modeliavimas.</w:t>
      </w:r>
    </w:p>
    <w:bookmarkEnd w:id="7"/>
    <w:p w14:paraId="644662B6">
      <w:pPr>
        <w:numPr>
          <w:ilvl w:val="1"/>
          <w:numId w:val="2"/>
        </w:numPr>
        <w:suppressAutoHyphens/>
        <w:spacing w:after="160" w:line="259" w:lineRule="auto"/>
        <w:ind w:left="567" w:firstLine="0"/>
        <w:rPr>
          <w:rFonts w:ascii="Arial" w:hAnsi="Arial" w:cs="Arial"/>
          <w:sz w:val="22"/>
          <w:szCs w:val="22"/>
        </w:rPr>
      </w:pPr>
      <w:r>
        <w:rPr>
          <w:rFonts w:ascii="Arial" w:hAnsi="Arial" w:cs="Arial"/>
          <w:sz w:val="22"/>
          <w:szCs w:val="22"/>
          <w:lang w:val="en-US"/>
        </w:rPr>
        <w:t xml:space="preserve">Projekti</w:t>
      </w:r>
      <w:r>
        <w:rPr>
          <w:rFonts w:ascii="Arial" w:hAnsi="Arial" w:cs="Arial"/>
          <w:sz w:val="22"/>
          <w:szCs w:val="22"/>
        </w:rPr>
        <w:t xml:space="preserve">nių</w:t>
      </w:r>
      <w:r>
        <w:rPr>
          <w:rFonts w:ascii="Arial" w:hAnsi="Arial" w:cs="Arial"/>
          <w:sz w:val="22"/>
          <w:szCs w:val="22"/>
        </w:rPr>
        <w:t xml:space="preserve"> pasiūlymų parengimas ir pateikimas Užsakovo peržiūrai. Projektinė dokumentacija peržiūrai turi būti pateikta *.pdf ir *.dwg formatais. Sudėtis ir detalumas nurodytas </w:t>
      </w:r>
      <w:r>
        <w:rPr>
          <w:rFonts w:ascii="Arial" w:hAnsi="Arial" w:cs="Arial"/>
          <w:b/>
          <w:bCs/>
          <w:sz w:val="22"/>
          <w:szCs w:val="22"/>
        </w:rPr>
        <w:t xml:space="preserve">STR 1.04.04:2017</w:t>
      </w:r>
      <w:r>
        <w:rPr>
          <w:rFonts w:ascii="Arial" w:hAnsi="Arial" w:cs="Arial"/>
          <w:sz w:val="22"/>
          <w:szCs w:val="22"/>
        </w:rPr>
        <w:t xml:space="preserve"> </w:t>
      </w:r>
      <w:r>
        <w:rPr>
          <w:rFonts w:ascii="Arial" w:hAnsi="Arial" w:cs="Arial"/>
          <w:i/>
          <w:iCs/>
          <w:sz w:val="22"/>
          <w:szCs w:val="22"/>
        </w:rPr>
        <w:t xml:space="preserve">„Statinio projektavimas, projekto ekspertizė“ </w:t>
      </w:r>
      <w:r>
        <w:rPr>
          <w:rFonts w:ascii="Arial" w:hAnsi="Arial" w:cs="Arial"/>
          <w:sz w:val="22"/>
          <w:szCs w:val="22"/>
        </w:rPr>
        <w:t xml:space="preserve">12 priede</w:t>
      </w:r>
      <w:bookmarkStart w:id="8" w:name="_Hlk181888986"/>
      <w:r>
        <w:rPr>
          <w:rFonts w:ascii="Arial" w:hAnsi="Arial" w:cs="Arial"/>
          <w:sz w:val="22"/>
          <w:szCs w:val="22"/>
        </w:rPr>
        <w:t xml:space="preserve">.</w:t>
      </w:r>
    </w:p>
    <w:p w14:paraId="644662B7">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numPr>
                <w:ilvl w:val="0"/>
                <w:numId w:val="49"/>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Užsakovas peržiūri pateiktus projektinius pasiūlymus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numPr>
                <w:ilvl w:val="0"/>
                <w:numId w:val="49"/>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Užsakovui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numPr>
                <w:ilvl w:val="0"/>
                <w:numId w:val="49"/>
              </w:numPr>
              <w:suppressAutoHyphens/>
              <w:spacing/>
              <w:contextualSpacing/>
              <w:jc w:val="left"/>
              <w:rPr>
                <w:rFonts w:ascii="Arial" w:hAnsi="Arial" w:eastAsiaTheme="minorHAnsi" w:cs="Arial"/>
                <w:sz w:val="22"/>
                <w:szCs w:val="22"/>
              </w:rPr>
            </w:pPr>
            <w:r>
              <w:rPr>
                <w:rFonts w:ascii="Arial" w:hAnsi="Arial" w:eastAsiaTheme="minorHAnsi" w:cs="Arial"/>
                <w:sz w:val="22"/>
                <w:szCs w:val="22"/>
              </w:rPr>
              <w:t xml:space="preserve">Užsakovas pakartotinai peržiūri teikiamus projektinius pasiūlymus.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8"/>
    </w:tbl>
    <w:p w14:paraId="644662C8">
      <w:pPr>
        <w:suppressAutoHyphens/>
        <w:spacing w:before="120"/>
        <w:ind w:left="567"/>
        <w:rPr>
          <w:rFonts w:ascii="Arial" w:hAnsi="Arial" w:cs="Arial"/>
          <w:i/>
          <w:iCs/>
          <w:sz w:val="22"/>
          <w:szCs w:val="22"/>
        </w:rPr>
      </w:pPr>
    </w:p>
    <w:p w14:paraId="644662C9">
      <w:pPr>
        <w:numPr>
          <w:ilvl w:val="1"/>
          <w:numId w:val="2"/>
        </w:numPr>
        <w:suppressAutoHyphens/>
        <w:spacing w:after="160" w:line="259" w:lineRule="auto"/>
        <w:ind w:left="567" w:firstLine="0"/>
        <w:rPr>
          <w:rFonts w:ascii="Arial" w:hAnsi="Arial" w:eastAsiaTheme="minorHAnsi" w:cs="Arial"/>
          <w:sz w:val="22"/>
          <w:szCs w:val="22"/>
        </w:rPr>
      </w:pPr>
      <w:r>
        <w:rPr>
          <w:rFonts w:ascii="Arial" w:hAnsi="Arial" w:cs="Arial"/>
          <w:sz w:val="22"/>
          <w:szCs w:val="22"/>
        </w:rPr>
        <w:t xml:space="preserve">Audito atlikimas ir taisymas pagal audito pateiktas pastabas. Užsakovo pritarimas, kad projektiniai pasiūlymai pataisyti pagal audito pastabas. </w:t>
      </w:r>
      <w:r>
        <w:rPr>
          <w:rFonts w:ascii="Arial" w:hAnsi="Arial" w:eastAsiaTheme="minorHAnsi"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Pr>
          <w:rFonts w:ascii="Arial" w:hAnsi="Arial" w:eastAsiaTheme="minorHAnsi" w:cs="Arial"/>
          <w:i/>
          <w:iCs/>
          <w:sz w:val="22"/>
          <w:szCs w:val="22"/>
        </w:rPr>
        <w:t xml:space="preserve">Kelių saugumo audito atlikimo tvarkos apraše</w:t>
      </w:r>
      <w:r>
        <w:rPr>
          <w:rFonts w:ascii="Arial" w:hAnsi="Arial" w:eastAsiaTheme="minorHAnsi" w:cs="Arial"/>
          <w:sz w:val="22"/>
          <w:szCs w:val="22"/>
        </w:rPr>
        <w:t xml:space="preserve">.</w:t>
      </w:r>
    </w:p>
    <w:p w14:paraId="644662CA">
      <w:pPr>
        <w:numPr>
          <w:ilvl w:val="2"/>
          <w:numId w:val="2"/>
        </w:numPr>
        <w:suppressAutoHyphens/>
        <w:spacing w:after="160" w:line="259" w:lineRule="auto"/>
        <w:ind w:left="1276" w:hanging="709"/>
        <w:contextualSpacing/>
        <w:jc w:val="left"/>
        <w:rPr>
          <w:rFonts w:ascii="Arial" w:hAnsi="Arial" w:eastAsiaTheme="minorHAnsi" w:cs="Arial"/>
          <w:sz w:val="22"/>
          <w:szCs w:val="22"/>
        </w:rPr>
      </w:pPr>
      <w:r>
        <w:rPr>
          <w:rFonts w:ascii="Arial" w:hAnsi="Arial" w:eastAsiaTheme="minorHAnsi"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tabs>
                <w:tab w:val="left" w:pos="851"/>
              </w:tabs>
              <w:suppressAutoHyphens/>
              <w:spacing/>
              <w:ind w:left="567"/>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10"/>
              </w:tabs>
              <w:suppressAutoHyphens/>
              <w:spacing/>
              <w:ind w:left="-41"/>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tabs>
                <w:tab w:val="left" w:pos="851"/>
              </w:tabs>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687" w:hRule="atLeast"/>
        </w:trPr>
        <w:tc>
          <w:tcPr>
            <w:tcW w:type="pct" w:w="2814"/>
            <w:tcBorders/>
            <w:vAlign w:val="center"/>
          </w:tcPr>
          <w:p>
            <w:pPr>
              <w:numPr>
                <w:ilvl w:val="0"/>
                <w:numId w:val="8"/>
              </w:numPr>
              <w:suppressAutoHyphens/>
              <w:spacing/>
              <w:ind w:left="459" w:hanging="426"/>
              <w:contextualSpacing/>
              <w:jc w:val="left"/>
              <w:rPr>
                <w:rFonts w:ascii="Arial" w:hAnsi="Arial" w:eastAsiaTheme="minorHAnsi" w:cs="Arial"/>
                <w:sz w:val="22"/>
                <w:szCs w:val="22"/>
              </w:rPr>
            </w:pPr>
            <w:r>
              <w:rPr>
                <w:rFonts w:ascii="Arial" w:hAnsi="Arial" w:eastAsiaTheme="minorHAnsi" w:cs="Arial"/>
                <w:sz w:val="22"/>
                <w:szCs w:val="22"/>
              </w:rPr>
              <w:t xml:space="preserve">Auditui skirta projektinė dokumentacija perduodama auditoriui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2</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Audito atlikimo terminas pagal sutartį – 28 d. d.</w:t>
            </w:r>
          </w:p>
        </w:tc>
      </w:tr>
      <w:tr>
        <w:trPr/>
        <w:tc>
          <w:tcPr>
            <w:tcW w:type="pct" w:w="2814"/>
            <w:tcBorders/>
          </w:tcPr>
          <w:p>
            <w:pPr>
              <w:numPr>
                <w:ilvl w:val="0"/>
                <w:numId w:val="8"/>
              </w:numPr>
              <w:suppressAutoHyphens/>
              <w:spacing/>
              <w:ind w:left="459"/>
              <w:contextualSpacing/>
              <w:jc w:val="left"/>
              <w:rPr>
                <w:rFonts w:ascii="Arial" w:hAnsi="Arial" w:eastAsiaTheme="minorHAnsi" w:cs="Arial"/>
                <w:sz w:val="22"/>
                <w:szCs w:val="22"/>
              </w:rPr>
            </w:pPr>
            <w:r>
              <w:rPr>
                <w:rFonts w:ascii="Arial" w:hAnsi="Arial" w:eastAsiaTheme="minorHAnsi" w:cs="Arial"/>
                <w:sz w:val="22"/>
                <w:szCs w:val="22"/>
              </w:rPr>
              <w:t xml:space="preserve">Atliekama audito procedūra ir iš auditoriaus gaunama ataskaita. Ataskaita persiunčiama Teikėjui.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16</w:t>
            </w:r>
          </w:p>
        </w:tc>
        <w:tc>
          <w:tcPr>
            <w:tcW w:type="pct" w:w="1093"/>
            <w:vMerge w:val="continue"/>
            <w:tcBorders/>
          </w:tcPr>
          <w:p>
            <w:pPr>
              <w:suppressAutoHyphens/>
              <w:spacing/>
              <w:jc w:val="center"/>
              <w:rPr>
                <w:rFonts w:ascii="Arial" w:hAnsi="Arial" w:eastAsiaTheme="minorHAnsi" w:cs="Arial"/>
                <w:sz w:val="22"/>
                <w:szCs w:val="22"/>
              </w:rPr>
            </w:pPr>
          </w:p>
        </w:tc>
      </w:tr>
      <w:tr>
        <w:trPr>
          <w:trHeight w:val="351" w:hRule="atLeast"/>
        </w:trPr>
        <w:tc>
          <w:tcPr>
            <w:tcW w:type="pct" w:w="2814"/>
            <w:tcBorders/>
          </w:tcPr>
          <w:p>
            <w:pPr>
              <w:numPr>
                <w:ilvl w:val="0"/>
                <w:numId w:val="8"/>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Suorganizuojamas audito posėdis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8"/>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Parengiamas ir užregistruojamas audito posėdžio protokolas bei išsiunčiamas Teikėjui.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vMerge w:val="continue"/>
            <w:tcBorders/>
          </w:tcPr>
          <w:p>
            <w:pPr>
              <w:suppressAutoHyphens/>
              <w:spacing/>
              <w:jc w:val="center"/>
              <w:rPr>
                <w:rFonts w:ascii="Arial" w:hAnsi="Arial" w:eastAsiaTheme="minorHAnsi" w:cs="Arial"/>
                <w:sz w:val="22"/>
                <w:szCs w:val="22"/>
              </w:rPr>
            </w:pPr>
          </w:p>
        </w:tc>
      </w:tr>
      <w:tr>
        <w:trPr/>
        <w:tc>
          <w:tcPr>
            <w:tcW w:type="pct" w:w="2814"/>
            <w:tcBorders/>
          </w:tcPr>
          <w:p>
            <w:pPr>
              <w:numPr>
                <w:ilvl w:val="0"/>
                <w:numId w:val="8"/>
              </w:numPr>
              <w:suppressAutoHyphens/>
              <w:spacing/>
              <w:ind w:left="459" w:hanging="425"/>
              <w:contextualSpacing/>
              <w:jc w:val="left"/>
              <w:rPr>
                <w:rFonts w:ascii="Arial" w:hAnsi="Arial" w:eastAsiaTheme="minorHAnsi" w:cs="Arial"/>
                <w:sz w:val="22"/>
                <w:szCs w:val="22"/>
              </w:rPr>
            </w:pPr>
            <w:r>
              <w:rPr>
                <w:rFonts w:ascii="Arial" w:hAnsi="Arial" w:eastAsiaTheme="minorHAnsi" w:cs="Arial"/>
                <w:sz w:val="22"/>
                <w:szCs w:val="22"/>
              </w:rPr>
              <w:t xml:space="preserve">Teikėjas taiso projektinę dokumentaciją ir pateikia Užsakovui (</w:t>
            </w:r>
            <w:r>
              <w:rPr>
                <w:sz w:val="24"/>
              </w:rPr>
              <w:fldChar w:fldCharType="begin"/>
            </w:r>
            <w:r>
              <w:rPr>
                <w:sz w:val="24"/>
              </w:rPr>
              <w:instrText xml:space="preserve">HYPERLINK "mailto:eismo.sauga@vialietuva.lt" </w:instrText>
            </w:r>
            <w:r>
              <w:rPr>
                <w:sz w:val="24"/>
              </w:rPr>
              <w:fldChar w:fldCharType="separate"/>
            </w:r>
            <w:r>
              <w:rPr>
                <w:rFonts w:ascii="Arial" w:hAnsi="Arial" w:eastAsiaTheme="minorHAnsi" w:cs="Arial"/>
                <w:sz w:val="22"/>
                <w:szCs w:val="22"/>
                <w:u w:val="single"/>
              </w:rPr>
              <w:t xml:space="preserve">eismo.sauga@vialietuva.lt</w:t>
            </w:r>
            <w:r>
              <w:rPr>
                <w:sz w:val="24"/>
              </w:rPr>
              <w:fldChar w:fldCharType="end"/>
            </w:r>
            <w:r>
              <w:rPr>
                <w:rFonts w:ascii="Arial" w:hAnsi="Arial" w:eastAsiaTheme="minorHAnsi" w:cs="Arial"/>
                <w:sz w:val="22"/>
                <w:szCs w:val="22"/>
              </w:rPr>
              <w:t xml:space="preserve">) patikrinimui</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8"/>
              </w:numPr>
              <w:suppressAutoHyphens/>
              <w:spacing/>
              <w:ind w:left="459"/>
              <w:rPr>
                <w:rFonts w:ascii="Arial" w:hAnsi="Arial" w:cs="Arial"/>
                <w:sz w:val="22"/>
              </w:rPr>
            </w:pPr>
            <w:r>
              <w:rPr>
                <w:rFonts w:ascii="Arial" w:hAnsi="Arial" w:cs="Arial"/>
                <w:sz w:val="22"/>
              </w:rPr>
              <w:t xml:space="preserve">Užsakovas tikrina Teikėjo pateiktą pataisytą projektinę dokumentaciją. Jei sprendiniai pataisyti pagal pastabas, išsiunčiamas patvirtinimas el. paštu. Kitu atveju el. paštu išsiunčiamos pastabos</w:t>
            </w:r>
          </w:p>
        </w:tc>
        <w:tc>
          <w:tcPr>
            <w:tcW w:type="pct" w:w="1093"/>
            <w:tcBorders/>
            <w:vAlign w:val="center"/>
          </w:tcPr>
          <w:p>
            <w:pPr>
              <w:suppressAutoHyphens/>
              <w:spacing/>
              <w:ind w:hanging="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644662E7">
      <w:pPr>
        <w:tabs>
          <w:tab w:val="left" w:pos="284"/>
        </w:tabs>
        <w:suppressAutoHyphens/>
        <w:spacing w:before="120" w:after="120"/>
        <w:ind w:left="567"/>
        <w:rPr>
          <w:rFonts w:ascii="Arial" w:hAnsi="Arial" w:cs="Arial"/>
          <w:sz w:val="22"/>
          <w:szCs w:val="22"/>
        </w:rPr>
      </w:pPr>
      <w:r>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644662E8">
      <w:pPr>
        <w:numPr>
          <w:ilvl w:val="1"/>
          <w:numId w:val="2"/>
        </w:numPr>
        <w:spacing w:after="160" w:line="259" w:lineRule="auto"/>
        <w:ind w:left="567" w:firstLine="0"/>
        <w:contextualSpacing/>
        <w:rPr>
          <w:rFonts w:ascii="Arial" w:hAnsi="Arial" w:cs="Arial"/>
          <w:sz w:val="22"/>
          <w:szCs w:val="22"/>
        </w:rPr>
      </w:pPr>
      <w:bookmarkStart w:id="9" w:name="_Hlk61946912"/>
      <w:bookmarkStart w:id="10" w:name="_Hlk191653489"/>
      <w:r>
        <w:rPr>
          <w:rFonts w:ascii="Arial" w:hAnsi="Arial" w:cs="Arial"/>
          <w:sz w:val="22"/>
          <w:szCs w:val="22"/>
        </w:rPr>
        <w:t xml:space="preserve">Visuomenės informavimas apie numatomą statinių (jų dalių) projektavimą ir visuomenės dalyvavimas svarstant statinių (jų dalių) projektinius pasiūlymus (</w:t>
      </w:r>
      <w:bookmarkStart w:id="11" w:name="_Hlk173861044"/>
      <w:r>
        <w:rPr>
          <w:rFonts w:ascii="Arial" w:hAnsi="Arial" w:cs="Arial"/>
          <w:sz w:val="22"/>
          <w:szCs w:val="22"/>
        </w:rPr>
        <w:t xml:space="preserve">kai tai yra būtina teisės aktų nustatyta tvarka)</w:t>
      </w:r>
      <w:bookmarkEnd w:id="11"/>
      <w:r>
        <w:rPr>
          <w:rFonts w:ascii="Arial" w:hAnsi="Arial" w:cs="Arial"/>
          <w:sz w:val="22"/>
          <w:szCs w:val="22"/>
        </w:rPr>
        <w:t xml:space="preserve">.</w:t>
      </w:r>
      <w:bookmarkStart w:id="12" w:name="_Hlk213928120"/>
      <w:bookmarkEnd w:id="9"/>
      <w:bookmarkEnd w:id="10"/>
    </w:p>
    <w:p w14:paraId="644662E9">
      <w:pPr>
        <w:numPr>
          <w:ilvl w:val="1"/>
          <w:numId w:val="2"/>
        </w:numPr>
        <w:spacing w:after="160" w:line="259" w:lineRule="auto"/>
        <w:ind w:left="567" w:firstLine="0"/>
        <w:contextualSpacing/>
        <w:rPr>
          <w:rFonts w:ascii="Arial" w:hAnsi="Arial" w:cs="Arial"/>
          <w:sz w:val="22"/>
          <w:szCs w:val="22"/>
        </w:rPr>
      </w:pPr>
      <w:r>
        <w:rPr>
          <w:rFonts w:ascii="Arial" w:hAnsi="Arial" w:cs="Arial"/>
          <w:sz w:val="22"/>
          <w:szCs w:val="22"/>
        </w:rPr>
        <w:t xml:space="preserve">Teikėjas teikia prašymą registruotis projektinių pasiūlymų pristatymui Komisijoje. Projekto pristatymas Komisijoje (Projektinė dokumentacija peržiūrai turi būti pateikta *.pdf ir *.dwg formatais) ir pastabų pateikimas. Projekto taisymas pagal Komisijos pateiktas pastabas. Komisijos pritarimas projektui protokolu. </w:t>
      </w:r>
    </w:p>
    <w:p w14:paraId="644662EA">
      <w:pPr>
        <w:pStyle w:val="ListParagraph"/>
        <w:numPr>
          <w:ilvl w:val="0"/>
          <w:numId w:val="52"/>
        </w:numPr>
        <w:spacing w:after="160" w:line="259" w:lineRule="auto"/>
        <w:rPr>
          <w:rFonts w:ascii="Arial" w:hAnsi="Arial" w:cs="Arial"/>
          <w:sz w:val="22"/>
        </w:rPr>
      </w:pPr>
      <w:r>
        <w:rPr>
          <w:rFonts w:ascii="Arial" w:hAnsi="Arial" w:cs="Arial"/>
          <w:sz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68"/>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68"/>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68"/>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bookmarkEnd w:id="12"/>
    </w:tbl>
    <w:p w14:paraId="644662FB">
      <w:pPr>
        <w:suppressAutoHyphens/>
        <w:spacing/>
        <w:ind w:left="567"/>
        <w:rPr>
          <w:rFonts w:ascii="Arial" w:hAnsi="Arial" w:cs="Arial"/>
          <w:color w:val="EE0000"/>
          <w:sz w:val="22"/>
          <w:szCs w:val="22"/>
        </w:rPr>
      </w:pPr>
    </w:p>
    <w:p w14:paraId="644662FC">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Statybą leidžiančio dokumento gavimas</w:t>
      </w:r>
      <w:r>
        <w:rPr>
          <w:rFonts w:ascii="Arial" w:hAnsi="Arial" w:eastAsiaTheme="minorHAnsi" w:cs="Arial"/>
          <w:sz w:val="22"/>
          <w:szCs w:val="22"/>
        </w:rPr>
        <w:t xml:space="preserve"> (</w:t>
      </w:r>
      <w:r>
        <w:rPr>
          <w:rFonts w:ascii="Arial" w:hAnsi="Arial" w:cs="Arial"/>
          <w:sz w:val="22"/>
          <w:szCs w:val="22"/>
        </w:rPr>
        <w:t xml:space="preserve">kai tai yra būtina teisės aktų nustatyta tvarka).</w:t>
      </w:r>
    </w:p>
    <w:p w14:paraId="644662FD">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Techninio darbo projekto parengimas ir pateikimas Užsakovo peržiūrai. Projektinė dokumentacija peržiūrai turi būti pateikta *.pdf ir *.dwg formatais. Pastabų pateikimas Teikėjui. Projektinių sprendinių taisymas pagal pateiktas pastabas. </w:t>
      </w:r>
    </w:p>
    <w:p w14:paraId="644662FE">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112"/>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tabs>
                <w:tab w:val="left" w:pos="851"/>
              </w:tabs>
              <w:suppressAutoHyphens/>
              <w:spacing/>
              <w:ind w:left="-177"/>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18"/>
              </w:numPr>
              <w:suppressAutoHyphens/>
              <w:spacing/>
              <w:rPr>
                <w:rFonts w:ascii="Arial" w:hAnsi="Arial" w:cs="Arial"/>
                <w:sz w:val="22"/>
              </w:rPr>
            </w:pPr>
            <w:r>
              <w:rPr>
                <w:rFonts w:ascii="Arial" w:hAnsi="Arial" w:cs="Arial"/>
                <w:sz w:val="22"/>
              </w:rPr>
              <w:t xml:space="preserve">Užsakovas peržiūri pateiktą techninį darbo projektą ir pateikia pastabas.</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15</w:t>
            </w:r>
          </w:p>
        </w:tc>
        <w:tc>
          <w:tcPr>
            <w:tcW w:type="pct" w:w="1093"/>
            <w:tcBorders/>
          </w:tcPr>
          <w:p>
            <w:pPr>
              <w:suppressAutoHyphens/>
              <w:spacing/>
              <w:ind w:left="-134"/>
              <w:jc w:val="center"/>
              <w:rPr>
                <w:rFonts w:ascii="Arial" w:hAnsi="Arial" w:eastAsiaTheme="minorHAnsi" w:cs="Arial"/>
                <w:sz w:val="22"/>
                <w:szCs w:val="22"/>
              </w:rPr>
            </w:pPr>
          </w:p>
        </w:tc>
      </w:tr>
      <w:tr>
        <w:trPr/>
        <w:tc>
          <w:tcPr>
            <w:tcW w:type="pct" w:w="2814"/>
            <w:tcBorders/>
          </w:tcPr>
          <w:p>
            <w:pPr>
              <w:pStyle w:val="ListParagraph"/>
              <w:numPr>
                <w:ilvl w:val="0"/>
                <w:numId w:val="18"/>
              </w:numPr>
              <w:suppressAutoHyphens/>
              <w:spacing/>
              <w:rPr>
                <w:rFonts w:ascii="Arial" w:hAnsi="Arial" w:cs="Arial"/>
                <w:sz w:val="22"/>
              </w:rPr>
            </w:pPr>
            <w:r>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*.xlsx formatu).</w:t>
            </w:r>
          </w:p>
        </w:tc>
        <w:tc>
          <w:tcPr>
            <w:tcW w:type="pct" w:w="1093"/>
            <w:tcBorders/>
            <w:vAlign w:val="center"/>
          </w:tcPr>
          <w:p>
            <w:pPr>
              <w:tabs>
                <w:tab w:val="left" w:pos="851"/>
              </w:tabs>
              <w:suppressAutoHyphens/>
              <w:spacing/>
              <w:ind w:left="-31"/>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134"/>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18"/>
              </w:numPr>
              <w:suppressAutoHyphens/>
              <w:spacing/>
              <w:rPr>
                <w:rFonts w:ascii="Arial" w:hAnsi="Arial" w:cs="Arial"/>
                <w:sz w:val="22"/>
              </w:rPr>
            </w:pPr>
            <w:r>
              <w:rPr>
                <w:rFonts w:ascii="Arial" w:hAnsi="Arial" w:cs="Arial"/>
                <w:sz w:val="22"/>
              </w:rPr>
              <w:t xml:space="preserve">Užsakovas pakartotinai peržiūri teikiamą techninį darbo projektą.</w:t>
            </w:r>
          </w:p>
        </w:tc>
        <w:tc>
          <w:tcPr>
            <w:tcW w:type="pct" w:w="1093"/>
            <w:tcBorders/>
            <w:vAlign w:val="center"/>
          </w:tcPr>
          <w:p>
            <w:pPr>
              <w:tabs>
                <w:tab w:val="left" w:pos="851"/>
              </w:tabs>
              <w:suppressAutoHyphens/>
              <w:spacing/>
              <w:ind w:left="-177"/>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6446630F">
      <w:pPr>
        <w:suppressAutoHyphens/>
        <w:spacing/>
        <w:ind w:left="567"/>
        <w:rPr>
          <w:rFonts w:ascii="Arial" w:hAnsi="Arial" w:cs="Arial"/>
          <w:color w:val="EE0000"/>
          <w:sz w:val="22"/>
          <w:szCs w:val="22"/>
        </w:rPr>
      </w:pPr>
    </w:p>
    <w:p w14:paraId="64466310">
      <w:pPr>
        <w:numPr>
          <w:ilvl w:val="1"/>
          <w:numId w:val="2"/>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Teikėjas teikia prašymą registruotis Projekto pristatymui Komisijoje. Projekto pristatymas Komisijoje ir pastabų pateikimas. Projekto taisymas pagal Komisijos pateiktas pastabas. Komisijos pritarimas projektui protokolu.</w:t>
      </w:r>
    </w:p>
    <w:p w14:paraId="64466311">
      <w:pPr>
        <w:numPr>
          <w:ilvl w:val="2"/>
          <w:numId w:val="2"/>
        </w:numPr>
        <w:tabs>
          <w:tab w:val="left" w:pos="284"/>
        </w:tabs>
        <w:suppressAutoHyphens/>
        <w:spacing w:after="160" w:line="259" w:lineRule="auto"/>
        <w:ind w:left="1276" w:hanging="721"/>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right="-107"/>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c>
          <w:tcPr>
            <w:tcW w:type="pct" w:w="2814"/>
            <w:tcBorders/>
            <w:vAlign w:val="center"/>
          </w:tcPr>
          <w:p>
            <w:pPr>
              <w:pStyle w:val="ListParagraph"/>
              <w:numPr>
                <w:ilvl w:val="0"/>
                <w:numId w:val="68"/>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tcBorders/>
          </w:tcPr>
          <w:p>
            <w:pPr>
              <w:suppressAutoHyphens/>
              <w:spacing/>
              <w:ind w:left="8"/>
              <w:jc w:val="center"/>
              <w:rPr>
                <w:rFonts w:ascii="Arial" w:hAnsi="Arial" w:eastAsiaTheme="minorHAnsi" w:cs="Arial"/>
                <w:sz w:val="22"/>
                <w:szCs w:val="22"/>
              </w:rPr>
            </w:pPr>
          </w:p>
        </w:tc>
      </w:tr>
      <w:tr>
        <w:trPr/>
        <w:tc>
          <w:tcPr>
            <w:tcW w:type="pct" w:w="2814"/>
            <w:tcBorders/>
          </w:tcPr>
          <w:p>
            <w:pPr>
              <w:pStyle w:val="ListParagraph"/>
              <w:numPr>
                <w:ilvl w:val="0"/>
                <w:numId w:val="68"/>
              </w:numPr>
              <w:suppressAutoHyphens/>
              <w:spacing/>
              <w:rPr>
                <w:rFonts w:ascii="Arial" w:hAnsi="Arial" w:cs="Arial"/>
                <w:sz w:val="22"/>
              </w:rPr>
            </w:pPr>
            <w:r>
              <w:rPr>
                <w:rFonts w:ascii="Arial" w:hAnsi="Arial" w:cs="Arial"/>
                <w:sz w:val="22"/>
              </w:rPr>
              <w:t xml:space="preserve">Teikėjas taiso projektinę dokumentaciją ir registruojasi pakartotinai į Komisiją </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vMerge w:val="restart"/>
            <w:tcBorders/>
            <w:vAlign w:val="center"/>
          </w:tcPr>
          <w:p>
            <w:pPr>
              <w:suppressAutoHyphens/>
              <w:spacing/>
              <w:ind w:left="8"/>
              <w:jc w:val="center"/>
              <w:rPr>
                <w:rFonts w:ascii="Arial" w:hAnsi="Arial" w:eastAsiaTheme="minorHAnsi" w:cs="Arial"/>
                <w:sz w:val="22"/>
                <w:szCs w:val="22"/>
              </w:rPr>
            </w:pPr>
            <w:r>
              <w:rPr>
                <w:rFonts w:ascii="Arial" w:hAnsi="Arial" w:eastAsiaTheme="minorHAnsi" w:cs="Arial"/>
                <w:sz w:val="22"/>
                <w:szCs w:val="22"/>
              </w:rPr>
              <w:t xml:space="preserve">Šios dvi procedūros kartojamos tol, kol projektas yra pataisomas</w:t>
            </w:r>
          </w:p>
        </w:tc>
      </w:tr>
      <w:tr>
        <w:trPr/>
        <w:tc>
          <w:tcPr>
            <w:tcW w:type="pct" w:w="2814"/>
            <w:tcBorders/>
          </w:tcPr>
          <w:p>
            <w:pPr>
              <w:pStyle w:val="ListParagraph"/>
              <w:numPr>
                <w:ilvl w:val="0"/>
                <w:numId w:val="68"/>
              </w:numPr>
              <w:suppressAutoHyphens/>
              <w:spacing/>
              <w:rPr>
                <w:rFonts w:ascii="Arial" w:hAnsi="Arial" w:cs="Arial"/>
                <w:sz w:val="22"/>
              </w:rPr>
            </w:pPr>
            <w:r>
              <w:rPr>
                <w:rFonts w:ascii="Arial" w:hAnsi="Arial" w:cs="Arial"/>
                <w:sz w:val="22"/>
              </w:rPr>
              <w:t xml:space="preserve">Po projekto pristatymo Komisijoje, parengiamas ir užregistruojamas Komisijos protokolas (su pritarimu projektui ar pastabomis)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10</w:t>
            </w:r>
          </w:p>
        </w:tc>
        <w:tc>
          <w:tcPr>
            <w:tcW w:type="pct" w:w="1093"/>
            <w:vMerge w:val="continue"/>
            <w:tcBorders/>
          </w:tcPr>
          <w:p>
            <w:pPr>
              <w:tabs>
                <w:tab w:val="left" w:pos="851"/>
              </w:tabs>
              <w:suppressAutoHyphens/>
              <w:spacing/>
              <w:ind w:left="567"/>
              <w:jc w:val="center"/>
              <w:rPr>
                <w:rFonts w:ascii="Arial" w:hAnsi="Arial" w:eastAsiaTheme="minorHAnsi" w:cs="Arial"/>
                <w:sz w:val="22"/>
                <w:szCs w:val="22"/>
              </w:rPr>
            </w:pPr>
          </w:p>
        </w:tc>
      </w:tr>
    </w:tbl>
    <w:p w14:paraId="64466322">
      <w:pPr>
        <w:suppressAutoHyphens/>
        <w:spacing w:after="160" w:line="259" w:lineRule="auto"/>
        <w:ind w:left="567"/>
        <w:rPr>
          <w:rFonts w:ascii="Arial" w:hAnsi="Arial" w:cs="Arial"/>
          <w:i/>
          <w:iCs/>
          <w:sz w:val="22"/>
          <w:szCs w:val="22"/>
        </w:rPr>
      </w:pPr>
    </w:p>
    <w:p w14:paraId="64466323">
      <w:pPr>
        <w:numPr>
          <w:ilvl w:val="1"/>
          <w:numId w:val="2"/>
        </w:numPr>
        <w:suppressAutoHyphens/>
        <w:spacing w:after="160" w:line="259" w:lineRule="auto"/>
        <w:ind w:left="567" w:firstLine="0"/>
        <w:rPr>
          <w:rFonts w:ascii="Arial" w:hAnsi="Arial" w:cs="Arial"/>
          <w:i/>
          <w:iCs/>
          <w:sz w:val="22"/>
          <w:szCs w:val="22"/>
        </w:rPr>
      </w:pPr>
      <w:r>
        <w:rPr>
          <w:rFonts w:ascii="Arial" w:hAnsi="Arial" w:cs="Arial"/>
          <w:sz w:val="22"/>
          <w:szCs w:val="22"/>
        </w:rPr>
        <w:t xml:space="preserve">Statinio projekto ekspertizė (organizuoja Užsakovas), taisymas pagal ekspertizės pastabas, teigiamas ekspertizės aktas (su išvada – „projektą galima tvirtinti“).</w:t>
      </w:r>
    </w:p>
    <w:p w14:paraId="64466324">
      <w:pPr>
        <w:suppressAutoHyphens/>
        <w:spacing w:before="120"/>
        <w:ind w:left="567"/>
        <w:rPr>
          <w:rFonts w:ascii="Arial" w:hAnsi="Arial" w:eastAsiaTheme="minorHAnsi" w:cs="Arial"/>
          <w:sz w:val="22"/>
          <w:szCs w:val="22"/>
        </w:rPr>
      </w:pPr>
      <w:r>
        <w:rPr>
          <w:rFonts w:ascii="Arial" w:hAnsi="Arial" w:eastAsiaTheme="minorHAnsi" w:cs="Arial"/>
          <w:sz w:val="22"/>
          <w:szCs w:val="22"/>
        </w:rPr>
        <w:t xml:space="preserve">Teikėjas pateikia Užsakovui prašymą (forma pridedama prieda) dėl ekspertizės atlikimo.</w:t>
      </w:r>
    </w:p>
    <w:p w14:paraId="64466325">
      <w:pPr>
        <w:numPr>
          <w:ilvl w:val="2"/>
          <w:numId w:val="2"/>
        </w:numPr>
        <w:tabs>
          <w:tab w:val="left" w:pos="284"/>
        </w:tabs>
        <w:suppressAutoHyphens/>
        <w:spacing w:after="160" w:line="259" w:lineRule="auto"/>
        <w:ind w:left="1276" w:hanging="709"/>
        <w:contextualSpacing/>
        <w:jc w:val="left"/>
        <w:rPr>
          <w:rFonts w:ascii="Arial" w:hAnsi="Arial" w:cs="Arial"/>
          <w:sz w:val="22"/>
          <w:szCs w:val="22"/>
        </w:rPr>
      </w:pPr>
      <w:r>
        <w:rPr>
          <w:rFonts w:ascii="Arial" w:hAnsi="Arial" w:cs="Arial"/>
          <w:sz w:val="22"/>
          <w:szCs w:val="22"/>
        </w:rPr>
        <w:t xml:space="preserve">Terminai:</w:t>
      </w:r>
    </w:p>
    <w:tbl>
      <w:tblPr>
        <w:tblStyle w:val="Lentelstinklelis2"/>
        <w:tblW w:w="473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45"/>
        <w:gridCol w:w="2233"/>
        <w:gridCol w:w="2232"/>
      </w:tblGrid>
      <w:tr>
        <w:trPr>
          <w:trHeight w:val="795" w:hRule="atLeast"/>
        </w:trPr>
        <w:tc>
          <w:tcPr>
            <w:tcW w:type="pct" w:w="2814"/>
            <w:tcBorders/>
            <w:shd w:fill="005063" w:color="auto" w:val="clear"/>
            <w:vAlign w:val="center"/>
          </w:tcPr>
          <w:p>
            <w:pPr>
              <w:suppressAutoHyphens/>
              <w:spacing/>
              <w:ind w:left="30"/>
              <w:jc w:val="center"/>
              <w:rPr>
                <w:rFonts w:ascii="Arial" w:hAnsi="Arial" w:eastAsiaTheme="minorHAnsi" w:cs="Arial"/>
                <w:b/>
                <w:bCs/>
                <w:sz w:val="22"/>
                <w:szCs w:val="22"/>
              </w:rPr>
            </w:pPr>
            <w:r>
              <w:rPr>
                <w:rFonts w:ascii="Arial" w:hAnsi="Arial" w:eastAsiaTheme="minorHAnsi" w:cs="Arial"/>
                <w:b/>
                <w:bCs/>
                <w:sz w:val="22"/>
                <w:szCs w:val="22"/>
              </w:rPr>
              <w:t xml:space="preserve">Veiksmas</w:t>
            </w:r>
          </w:p>
        </w:tc>
        <w:tc>
          <w:tcPr>
            <w:tcW w:type="pct" w:w="1093"/>
            <w:tcBorders/>
            <w:shd w:fill="005063" w:color="auto" w:val="clear"/>
            <w:vAlign w:val="center"/>
          </w:tcPr>
          <w:p>
            <w:pPr>
              <w:suppressAutoHyphens/>
              <w:spacing/>
              <w:ind w:left="-35"/>
              <w:jc w:val="center"/>
              <w:rPr>
                <w:rFonts w:ascii="Arial" w:hAnsi="Arial" w:eastAsiaTheme="minorHAnsi" w:cs="Arial"/>
                <w:b/>
                <w:bCs/>
                <w:sz w:val="22"/>
                <w:szCs w:val="22"/>
              </w:rPr>
            </w:pPr>
            <w:r>
              <w:rPr>
                <w:rFonts w:ascii="Arial" w:hAnsi="Arial" w:eastAsiaTheme="minorHAnsi" w:cs="Arial"/>
                <w:b/>
                <w:bCs/>
                <w:sz w:val="22"/>
                <w:szCs w:val="22"/>
              </w:rPr>
              <w:t xml:space="preserve">Darbo dienų skaičius, max</w:t>
            </w:r>
          </w:p>
        </w:tc>
        <w:tc>
          <w:tcPr>
            <w:tcW w:type="pct" w:w="1093"/>
            <w:tcBorders/>
            <w:shd w:fill="005063" w:color="auto" w:val="clear"/>
            <w:vAlign w:val="center"/>
          </w:tcPr>
          <w:p>
            <w:pPr>
              <w:suppressAutoHyphens/>
              <w:spacing/>
              <w:ind w:left="-134"/>
              <w:jc w:val="center"/>
              <w:rPr>
                <w:rFonts w:ascii="Arial" w:hAnsi="Arial" w:eastAsiaTheme="minorHAnsi" w:cs="Arial"/>
                <w:b/>
                <w:bCs/>
                <w:sz w:val="22"/>
                <w:szCs w:val="22"/>
              </w:rPr>
            </w:pPr>
            <w:r>
              <w:rPr>
                <w:rFonts w:ascii="Arial" w:hAnsi="Arial" w:eastAsiaTheme="minorHAnsi" w:cs="Arial"/>
                <w:b/>
                <w:bCs/>
                <w:sz w:val="22"/>
                <w:szCs w:val="22"/>
              </w:rPr>
              <w:t xml:space="preserve">Pastabos</w:t>
            </w:r>
          </w:p>
        </w:tc>
      </w:tr>
      <w:tr>
        <w:trPr>
          <w:trHeight w:val="975" w:hRule="atLeast"/>
        </w:trPr>
        <w:tc>
          <w:tcPr>
            <w:tcW w:type="pct" w:w="2814"/>
            <w:tcBorders/>
            <w:vAlign w:val="center"/>
          </w:tcPr>
          <w:p>
            <w:pPr>
              <w:pStyle w:val="ListParagraph"/>
              <w:numPr>
                <w:ilvl w:val="0"/>
                <w:numId w:val="40"/>
              </w:numPr>
              <w:suppressAutoHyphens/>
              <w:spacing/>
              <w:rPr>
                <w:rFonts w:ascii="Arial" w:hAnsi="Arial" w:cs="Arial"/>
                <w:sz w:val="22"/>
              </w:rPr>
            </w:pPr>
            <w:r>
              <w:rPr>
                <w:rFonts w:ascii="Arial" w:hAnsi="Arial" w:cs="Arial"/>
                <w:sz w:val="22"/>
              </w:rPr>
              <w:t xml:space="preserve">Užsakovas informuoja, kuriam ekspertui Teikėjas turi pateikti parengtą projektą. Ekspertui siunčiant projektinę dokumentaciją, kopija pridedama ir Užsakovui.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w:t>
            </w:r>
          </w:p>
        </w:tc>
        <w:tc>
          <w:tcPr>
            <w:tcW w:type="pct" w:w="1093"/>
            <w:tcBorders/>
          </w:tcPr>
          <w:p>
            <w:pPr>
              <w:suppressAutoHyphens/>
              <w:spacing/>
              <w:jc w:val="center"/>
              <w:rPr>
                <w:rFonts w:ascii="Arial" w:hAnsi="Arial" w:eastAsiaTheme="minorHAnsi" w:cs="Arial"/>
                <w:sz w:val="22"/>
                <w:szCs w:val="22"/>
              </w:rPr>
            </w:pPr>
          </w:p>
        </w:tc>
      </w:tr>
      <w:tr>
        <w:trPr>
          <w:trHeight w:val="285" w:hRule="atLeast"/>
        </w:trPr>
        <w:tc>
          <w:tcPr>
            <w:tcW w:type="pct" w:w="2814"/>
            <w:tcBorders/>
            <w:vAlign w:val="center"/>
          </w:tcPr>
          <w:p>
            <w:pPr>
              <w:pStyle w:val="ListParagraph"/>
              <w:numPr>
                <w:ilvl w:val="0"/>
                <w:numId w:val="40"/>
              </w:numPr>
              <w:suppressAutoHyphens/>
              <w:spacing/>
              <w:rPr>
                <w:rFonts w:ascii="Arial" w:hAnsi="Arial" w:cs="Arial"/>
                <w:sz w:val="22"/>
              </w:rPr>
            </w:pPr>
            <w:r>
              <w:rPr>
                <w:rFonts w:ascii="Arial" w:hAnsi="Arial" w:cs="Arial"/>
                <w:sz w:val="22"/>
              </w:rPr>
              <w:t xml:space="preserve">Ekspertizės atlikimas ir pastabų (arba teigiamo akto) gavimas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5–10</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40"/>
              </w:numPr>
              <w:suppressAutoHyphens/>
              <w:spacing/>
              <w:rPr>
                <w:rFonts w:ascii="Arial" w:hAnsi="Arial" w:cs="Arial"/>
                <w:sz w:val="22"/>
              </w:rPr>
            </w:pPr>
            <w:r>
              <w:rPr>
                <w:rFonts w:ascii="Arial" w:hAnsi="Arial" w:cs="Arial"/>
                <w:sz w:val="22"/>
              </w:rPr>
              <w:t xml:space="preserve">Teikėjas taiso projektinę dokumentaciją ir teikia pakartotinai ekspertui</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Teikėjo atsakomybė</w:t>
            </w:r>
          </w:p>
        </w:tc>
        <w:tc>
          <w:tcPr>
            <w:tcW w:type="pct" w:w="1093"/>
            <w:tcBorders/>
          </w:tcPr>
          <w:p>
            <w:pPr>
              <w:suppressAutoHyphens/>
              <w:spacing/>
              <w:jc w:val="center"/>
              <w:rPr>
                <w:rFonts w:ascii="Arial" w:hAnsi="Arial" w:eastAsiaTheme="minorHAnsi" w:cs="Arial"/>
                <w:sz w:val="22"/>
                <w:szCs w:val="22"/>
              </w:rPr>
            </w:pPr>
          </w:p>
        </w:tc>
      </w:tr>
      <w:tr>
        <w:trPr/>
        <w:tc>
          <w:tcPr>
            <w:tcW w:type="pct" w:w="2814"/>
            <w:tcBorders/>
            <w:vAlign w:val="center"/>
          </w:tcPr>
          <w:p>
            <w:pPr>
              <w:pStyle w:val="ListParagraph"/>
              <w:numPr>
                <w:ilvl w:val="0"/>
                <w:numId w:val="40"/>
              </w:numPr>
              <w:suppressAutoHyphens/>
              <w:spacing/>
              <w:rPr>
                <w:rFonts w:ascii="Arial" w:hAnsi="Arial" w:cs="Arial"/>
                <w:sz w:val="22"/>
              </w:rPr>
            </w:pPr>
            <w:r>
              <w:rPr>
                <w:rFonts w:ascii="Arial" w:hAnsi="Arial" w:cs="Arial"/>
                <w:sz w:val="22"/>
              </w:rPr>
              <w:t xml:space="preserve">Gavus teigiamą ekspertizės aktą, Teikėjas raštu kreipiasi į Užsakovą dėl projekto patvirtinimo </w:t>
            </w:r>
            <w:r>
              <w:rPr>
                <w:rFonts w:ascii="Arial" w:hAnsi="Arial" w:cs="Arial"/>
                <w:sz w:val="22"/>
              </w:rPr>
              <w:t xml:space="preserve">potvarkio. Su prašymu dėl projekto tvirtinimo, privalo pateikti projektą pagal prieduose pridedamą formą (Priedas)</w:t>
            </w:r>
          </w:p>
        </w:tc>
        <w:tc>
          <w:tcPr>
            <w:tcW w:type="pct" w:w="1093"/>
            <w:tcBorders/>
            <w:vAlign w:val="center"/>
          </w:tcPr>
          <w:p>
            <w:pPr>
              <w:suppressAutoHyphens/>
              <w:spacing/>
              <w:ind w:left="-35"/>
              <w:jc w:val="center"/>
              <w:rPr>
                <w:rFonts w:ascii="Arial" w:hAnsi="Arial" w:eastAsiaTheme="minorHAnsi" w:cs="Arial"/>
                <w:sz w:val="22"/>
                <w:szCs w:val="22"/>
              </w:rPr>
            </w:pPr>
            <w:r>
              <w:rPr>
                <w:rFonts w:ascii="Arial" w:hAnsi="Arial" w:eastAsiaTheme="minorHAnsi" w:cs="Arial"/>
                <w:sz w:val="22"/>
                <w:szCs w:val="22"/>
              </w:rPr>
              <w:t xml:space="preserve">7</w:t>
            </w:r>
          </w:p>
        </w:tc>
        <w:tc>
          <w:tcPr>
            <w:tcW w:type="pct" w:w="1093"/>
            <w:tcBorders/>
          </w:tcPr>
          <w:p>
            <w:pPr>
              <w:suppressAutoHyphens/>
              <w:spacing/>
              <w:jc w:val="center"/>
              <w:rPr>
                <w:rFonts w:ascii="Arial" w:hAnsi="Arial" w:eastAsiaTheme="minorHAnsi" w:cs="Arial"/>
                <w:sz w:val="22"/>
                <w:szCs w:val="22"/>
              </w:rPr>
            </w:pPr>
          </w:p>
        </w:tc>
      </w:tr>
    </w:tbl>
    <w:p w14:paraId="6446633A">
      <w:pPr>
        <w:tabs>
          <w:tab w:val="left" w:pos="284"/>
        </w:tabs>
        <w:suppressAutoHyphens/>
        <w:spacing/>
        <w:ind w:left="567"/>
        <w:rPr>
          <w:rFonts w:ascii="Arial" w:hAnsi="Arial" w:cs="Arial"/>
          <w:sz w:val="22"/>
          <w:szCs w:val="22"/>
        </w:rPr>
      </w:pPr>
    </w:p>
    <w:p w14:paraId="6446633B">
      <w:pPr>
        <w:numPr>
          <w:ilvl w:val="1"/>
          <w:numId w:val="2"/>
        </w:numPr>
        <w:suppressAutoHyphens/>
        <w:spacing w:line="259" w:lineRule="auto"/>
        <w:ind w:left="567" w:firstLine="0"/>
        <w:jc w:val="left"/>
        <w:rPr>
          <w:rFonts w:ascii="Arial" w:hAnsi="Arial" w:cs="Arial"/>
          <w:sz w:val="22"/>
          <w:szCs w:val="22"/>
        </w:rPr>
      </w:pPr>
      <w:bookmarkStart w:id="13" w:name="_Hlk61946947"/>
      <w:r>
        <w:rPr>
          <w:rFonts w:ascii="Arial" w:hAnsi="Arial" w:cs="Arial"/>
          <w:sz w:val="22"/>
          <w:szCs w:val="22"/>
        </w:rPr>
        <w:t xml:space="preserve">Parengto Projekto tvirtinimas.</w:t>
      </w:r>
    </w:p>
    <w:bookmarkEnd w:id="13"/>
    <w:p w14:paraId="6446633C">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sz w:val="22"/>
          <w:szCs w:val="22"/>
        </w:rPr>
        <w:t xml:space="preserve">REIKALAVIMAI </w:t>
      </w:r>
      <w:r>
        <w:rPr>
          <w:rFonts w:ascii="Arial" w:hAnsi="Arial" w:cs="Arial"/>
          <w:b/>
          <w:bCs/>
          <w:sz w:val="22"/>
          <w:szCs w:val="22"/>
        </w:rPr>
        <w:t xml:space="preserve">BENDRIESIEMS STATINIŲ RODIKLIAMS (BSR)</w:t>
      </w:r>
    </w:p>
    <w:p w14:paraId="6446633D">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Bendrieji statinių rodikliai (toliau − BSR) projekto bendrojoje dalyje pateikiami vadovaujantis STR 1.04.04:2017 „Statinio projektavimas, projekto ekspertizė“ </w:t>
      </w:r>
      <w:r>
        <w:rPr>
          <w:rFonts w:ascii="Arial" w:hAnsi="Arial" w:cs="Arial"/>
          <w:sz w:val="22"/>
          <w:szCs w:val="22"/>
          <w:lang w:eastAsia="lt-LT"/>
        </w:rPr>
        <w:t xml:space="preserve">reglamento 5 priedo reikalavimais</w:t>
      </w:r>
      <w:r>
        <w:rPr>
          <w:rFonts w:ascii="Arial" w:hAnsi="Arial" w:cs="Arial"/>
          <w:sz w:val="22"/>
          <w:szCs w:val="22"/>
        </w:rPr>
        <w:t xml:space="preserve">. Prieduose</w:t>
      </w:r>
      <w:r>
        <w:rPr>
          <w:rFonts w:ascii="Arial" w:hAnsi="Arial" w:eastAsiaTheme="minorHAnsi" w:cs="Arial"/>
          <w:sz w:val="22"/>
          <w:szCs w:val="22"/>
        </w:rPr>
        <w:t xml:space="preserve"> p</w:t>
      </w:r>
      <w:r>
        <w:rPr>
          <w:rFonts w:ascii="Arial" w:hAnsi="Arial" w:cs="Arial"/>
          <w:sz w:val="22"/>
          <w:szCs w:val="22"/>
        </w:rPr>
        <w:t xml:space="preserve">ridedama pavydinė forma (Priedas Nr.4).</w:t>
      </w:r>
    </w:p>
    <w:p w14:paraId="6446633E">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Į BSR </w:t>
      </w:r>
      <w:r>
        <w:rPr>
          <w:rFonts w:ascii="Arial" w:hAnsi="Arial" w:cs="Arial"/>
          <w:b/>
          <w:bCs/>
          <w:sz w:val="22"/>
          <w:szCs w:val="22"/>
        </w:rPr>
        <w:t xml:space="preserve">turi būti</w:t>
      </w:r>
      <w:r>
        <w:rPr>
          <w:rFonts w:ascii="Arial" w:hAnsi="Arial" w:cs="Arial"/>
          <w:sz w:val="22"/>
          <w:szCs w:val="22"/>
        </w:rPr>
        <w:t xml:space="preserve"> įrašomi tik tie Statiniai, kurie yra registruojami Nekilnojamojo turto registre;</w:t>
      </w:r>
    </w:p>
    <w:p w14:paraId="6446633F">
      <w:pPr>
        <w:numPr>
          <w:ilvl w:val="2"/>
          <w:numId w:val="60"/>
        </w:numPr>
        <w:suppressAutoHyphens/>
        <w:spacing w:after="160" w:line="259" w:lineRule="auto"/>
        <w:ind w:left="1276" w:hanging="425"/>
        <w:contextualSpacing/>
        <w:jc w:val="left"/>
        <w:rPr>
          <w:rFonts w:ascii="Arial" w:hAnsi="Arial" w:cs="Arial"/>
          <w:sz w:val="22"/>
          <w:szCs w:val="22"/>
        </w:rPr>
      </w:pPr>
      <w:bookmarkStart w:id="14" w:name="_Hlk180571643"/>
      <w:r>
        <w:rPr>
          <w:rFonts w:ascii="Arial" w:hAnsi="Arial" w:cs="Arial"/>
          <w:sz w:val="22"/>
          <w:szCs w:val="22"/>
        </w:rPr>
        <w:t xml:space="preserve">remontuojami, rekonstruojami, naujai statomi ar griaunami keliai, keliai (gatvės);</w:t>
      </w:r>
    </w:p>
    <w:p w14:paraId="64466340">
      <w:pPr>
        <w:numPr>
          <w:ilvl w:val="2"/>
          <w:numId w:val="6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tiltai, tiltai gyvūnams („Žalieji tiltai“), tuneliai, viadukai, estakados;</w:t>
      </w:r>
    </w:p>
    <w:p w14:paraId="64466341">
      <w:pPr>
        <w:numPr>
          <w:ilvl w:val="2"/>
          <w:numId w:val="6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naujai statomi lietaus nuotekų tinklai;</w:t>
      </w:r>
    </w:p>
    <w:p w14:paraId="64466342">
      <w:pPr>
        <w:numPr>
          <w:ilvl w:val="2"/>
          <w:numId w:val="6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110 kV ir aukštesnės įtampos elektros perdavimo tinklai ir technologiniai priklausiniai, aukšto slėgio dujotiekio tinklai, pastatai, kiti statiniai (pvz; tvoros, šuliniai, aikštelės ir pan.);</w:t>
      </w:r>
    </w:p>
    <w:p w14:paraId="64466343">
      <w:pPr>
        <w:numPr>
          <w:ilvl w:val="2"/>
          <w:numId w:val="60"/>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melioracijos tinklai;</w:t>
      </w:r>
    </w:p>
    <w:p w14:paraId="64466344">
      <w:pPr>
        <w:numPr>
          <w:ilvl w:val="2"/>
          <w:numId w:val="60"/>
        </w:numPr>
        <w:spacing w:line="259" w:lineRule="auto"/>
        <w:ind w:left="1276" w:hanging="425"/>
        <w:contextualSpacing/>
        <w:jc w:val="left"/>
        <w:rPr>
          <w:rFonts w:ascii="Arial" w:hAnsi="Arial" w:cs="Arial"/>
          <w:sz w:val="22"/>
          <w:szCs w:val="22"/>
        </w:rPr>
      </w:pPr>
      <w:r>
        <w:rPr>
          <w:rFonts w:ascii="Arial" w:hAnsi="Arial" w:cs="Arial"/>
          <w:sz w:val="22"/>
          <w:szCs w:val="22"/>
        </w:rPr>
        <w:t xml:space="preserve">remontuojami, rekonstruojami, naujai statomi ar griaunami Statiniai, kuriems yra anksčiau suteiktas unikalus numeris, nors pagal šiuo metu galiojantį reglamentavimą nelaikomi Statiniais.</w:t>
      </w:r>
    </w:p>
    <w:p w14:paraId="64466345">
      <w:pPr>
        <w:numPr>
          <w:ilvl w:val="1"/>
          <w:numId w:val="2"/>
        </w:numPr>
        <w:suppressAutoHyphens/>
        <w:spacing w:line="259" w:lineRule="auto"/>
        <w:ind w:left="567" w:firstLine="0"/>
        <w:jc w:val="left"/>
        <w:rPr>
          <w:rFonts w:ascii="Arial" w:hAnsi="Arial" w:cs="Arial"/>
          <w:i/>
          <w:iCs/>
          <w:sz w:val="22"/>
          <w:szCs w:val="22"/>
        </w:rPr>
      </w:pPr>
      <w:bookmarkStart w:id="15" w:name="_Hlk180575090"/>
      <w:bookmarkEnd w:id="14"/>
      <w:r>
        <w:rPr>
          <w:rFonts w:ascii="Arial" w:hAnsi="Arial" w:cs="Arial"/>
          <w:sz w:val="22"/>
          <w:szCs w:val="22"/>
        </w:rPr>
        <w:t xml:space="preserve">Į BSR </w:t>
      </w:r>
      <w:r>
        <w:rPr>
          <w:rFonts w:ascii="Arial" w:hAnsi="Arial" w:cs="Arial"/>
          <w:b/>
          <w:bCs/>
          <w:sz w:val="22"/>
          <w:szCs w:val="22"/>
        </w:rPr>
        <w:t xml:space="preserve">neturi</w:t>
      </w:r>
      <w:r>
        <w:rPr>
          <w:rFonts w:ascii="Arial" w:hAnsi="Arial" w:cs="Arial"/>
          <w:sz w:val="22"/>
          <w:szCs w:val="22"/>
        </w:rPr>
        <w:t xml:space="preserve"> būti į</w:t>
      </w:r>
      <w:bookmarkStart w:id="16" w:name="_Hlk180570847"/>
      <w:r>
        <w:rPr>
          <w:rFonts w:ascii="Arial" w:hAnsi="Arial" w:cs="Arial"/>
          <w:sz w:val="22"/>
          <w:szCs w:val="22"/>
        </w:rPr>
        <w:t xml:space="preserve">rašomi:</w:t>
      </w:r>
    </w:p>
    <w:p w14:paraId="64466346">
      <w:pPr>
        <w:numPr>
          <w:ilvl w:val="2"/>
          <w:numId w:val="2"/>
        </w:numPr>
        <w:suppressAutoHyphens/>
        <w:spacing w:line="259" w:lineRule="auto"/>
        <w:ind w:left="1276" w:hanging="425"/>
        <w:contextualSpacing/>
        <w:jc w:val="left"/>
        <w:rPr>
          <w:rFonts w:ascii="Arial" w:hAnsi="Arial" w:cs="Arial"/>
          <w:sz w:val="22"/>
          <w:szCs w:val="22"/>
        </w:rPr>
      </w:pPr>
      <w:r>
        <w:rPr>
          <w:rFonts w:ascii="Arial" w:hAnsi="Arial" w:cs="Arial"/>
          <w:sz w:val="22"/>
          <w:szCs w:val="22"/>
        </w:rPr>
        <w:t xml:space="preserve">elektros tinklai, </w:t>
      </w:r>
      <w:bookmarkStart w:id="17" w:name="_Hlk180573203"/>
      <w:r>
        <w:rPr>
          <w:rFonts w:ascii="Arial" w:hAnsi="Arial" w:cs="Arial"/>
          <w:sz w:val="22"/>
          <w:szCs w:val="22"/>
        </w:rPr>
        <w:t xml:space="preserve">kurie pagal Lietuvos Respublikos elektros energetikos įstatym</w:t>
      </w:r>
      <w:bookmarkEnd w:id="17"/>
      <w:r>
        <w:rPr>
          <w:rFonts w:ascii="Arial" w:hAnsi="Arial" w:cs="Arial"/>
          <w:sz w:val="22"/>
          <w:szCs w:val="22"/>
        </w:rPr>
        <w:t xml:space="preserve">o 75 str. yra laikomi kilnojamaisiais daiktais;</w:t>
      </w:r>
    </w:p>
    <w:p w14:paraId="64466347">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ryšių tinklai, kurie pagal Lietuvos Respublikos elektroninių ryšių įstatymo 42 str. yra laikomi kilnojamaisiais daiktais;</w:t>
      </w:r>
    </w:p>
    <w:p w14:paraId="64466348">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mažo ir vidutinio slėgio dujotiekiai, kurie pagal Lietuvos gamtinių dujų įstatymo 13</w:t>
      </w:r>
      <w:r>
        <w:rPr>
          <w:rFonts w:ascii="Arial" w:hAnsi="Arial" w:cs="Arial"/>
          <w:sz w:val="22"/>
          <w:szCs w:val="22"/>
          <w:vertAlign w:val="superscript"/>
        </w:rPr>
        <w:t xml:space="preserve">1</w:t>
      </w:r>
      <w:r>
        <w:rPr>
          <w:rFonts w:ascii="Arial" w:hAnsi="Arial" w:cs="Arial"/>
          <w:sz w:val="22"/>
          <w:szCs w:val="22"/>
        </w:rPr>
        <w:t xml:space="preserve"> str. yra laikomi kilnojamaisiais daiktais;</w:t>
      </w:r>
    </w:p>
    <w:p w14:paraId="64466349">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kelio elementai (apšvietimas, prieštriukšminės sienutės, atraminės sienutės, ženklų santvaros ir t.t.</w:t>
      </w:r>
    </w:p>
    <w:bookmarkEnd w:id="15"/>
    <w:p w14:paraId="6446634A">
      <w:pPr>
        <w:numPr>
          <w:ilvl w:val="1"/>
          <w:numId w:val="2"/>
        </w:numPr>
        <w:suppressAutoHyphens/>
        <w:spacing w:line="259" w:lineRule="auto"/>
        <w:ind w:left="851" w:hanging="284"/>
        <w:jc w:val="left"/>
        <w:rPr>
          <w:rFonts w:ascii="Arial" w:hAnsi="Arial" w:cs="Arial"/>
          <w:i/>
          <w:iCs/>
          <w:sz w:val="22"/>
          <w:szCs w:val="22"/>
        </w:rPr>
      </w:pPr>
      <w:r>
        <w:rPr>
          <w:rFonts w:ascii="Arial" w:hAnsi="Arial" w:cs="Arial"/>
          <w:b/>
          <w:bCs/>
          <w:sz w:val="22"/>
          <w:szCs w:val="22"/>
        </w:rPr>
        <w:t xml:space="preserve">Pastabos</w:t>
      </w:r>
      <w:r>
        <w:rPr>
          <w:rFonts w:ascii="Arial" w:hAnsi="Arial" w:cs="Arial"/>
          <w:sz w:val="22"/>
          <w:szCs w:val="22"/>
        </w:rPr>
        <w:t xml:space="preserve">:</w:t>
      </w:r>
    </w:p>
    <w:p w14:paraId="6446634B">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žemės sklypai, kuriuose bus vykdomi darbai;</w:t>
      </w:r>
    </w:p>
    <w:p w14:paraId="6446634C">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surašomi visi statiniai ir žemės sklypai, kuriuose atliekami dangų suvedimai;</w:t>
      </w:r>
    </w:p>
    <w:p w14:paraId="6446634D">
      <w:pPr>
        <w:numPr>
          <w:ilvl w:val="2"/>
          <w:numId w:val="2"/>
        </w:numPr>
        <w:spacing w:after="160" w:line="259" w:lineRule="auto"/>
        <w:ind w:left="1276" w:hanging="425"/>
        <w:contextualSpacing/>
        <w:jc w:val="left"/>
        <w:rPr>
          <w:rFonts w:ascii="Arial" w:hAnsi="Arial" w:cs="Arial"/>
          <w:i/>
          <w:iCs/>
          <w:sz w:val="22"/>
          <w:szCs w:val="22"/>
        </w:rPr>
      </w:pPr>
      <w:r>
        <w:rPr>
          <w:rFonts w:ascii="Arial" w:hAnsi="Arial" w:cs="Arial"/>
          <w:sz w:val="22"/>
          <w:szCs w:val="22"/>
        </w:rPr>
        <w:t xml:space="preserve">pildant BSR rodiklius grafoje „Pastabos“</w:t>
      </w:r>
      <w:r>
        <w:rPr>
          <w:rFonts w:ascii="Arial" w:hAnsi="Arial" w:cs="Arial"/>
          <w:i/>
          <w:iCs/>
          <w:sz w:val="22"/>
          <w:szCs w:val="22"/>
        </w:rPr>
        <w:t xml:space="preserve"> </w:t>
      </w:r>
      <w:r>
        <w:rPr>
          <w:rFonts w:ascii="Arial" w:hAnsi="Arial" w:cs="Arial"/>
          <w:sz w:val="22"/>
          <w:szCs w:val="22"/>
        </w:rPr>
        <w:t xml:space="preserve">nurodomas unikalus numeris, visas statinio ilgis pagal kadastro duomenis, statinio kategorija, reikalingas ar nereikalingas SLD, statinio nuosavybė bei kitos pastabos ar komentarai pagal poreikį.</w:t>
      </w:r>
    </w:p>
    <w:p w14:paraId="6446634E">
      <w:pPr>
        <w:numPr>
          <w:ilvl w:val="2"/>
          <w:numId w:val="2"/>
        </w:numPr>
        <w:spacing w:line="259" w:lineRule="auto"/>
        <w:ind w:left="1276" w:hanging="425"/>
        <w:contextualSpacing/>
        <w:jc w:val="left"/>
        <w:rPr>
          <w:rFonts w:ascii="Arial" w:hAnsi="Arial" w:cs="Arial"/>
          <w:i/>
          <w:iCs/>
          <w:sz w:val="22"/>
          <w:szCs w:val="22"/>
        </w:rPr>
      </w:pPr>
      <w:r>
        <w:rPr>
          <w:rFonts w:ascii="Arial" w:hAnsi="Arial" w:cs="Arial"/>
          <w:sz w:val="22"/>
          <w:szCs w:val="22"/>
        </w:rPr>
        <w:t xml:space="preserve">jeigu yra projektuojami apjungiamieji keliai, jie bus registruojami kaip pagrindinio kelio priklausiniai ir juos būtina įtraukti papildoma eilute prie pagrindinio kelio (Statinio), nurodant apjungiamojo kelio ilgį.</w:t>
      </w:r>
      <w:bookmarkEnd w:id="16"/>
    </w:p>
    <w:p w14:paraId="6446634F">
      <w:pPr>
        <w:numPr>
          <w:ilvl w:val="0"/>
          <w:numId w:val="2"/>
        </w:numPr>
        <w:suppressAutoHyphens/>
        <w:spacing w:before="120" w:after="120" w:line="259" w:lineRule="auto"/>
        <w:ind w:left="567" w:firstLine="0"/>
        <w:jc w:val="left"/>
        <w:rPr>
          <w:rFonts w:ascii="Arial" w:hAnsi="Arial" w:cs="Arial"/>
          <w:i/>
          <w:iCs/>
          <w:sz w:val="22"/>
          <w:szCs w:val="22"/>
        </w:rPr>
      </w:pPr>
      <w:bookmarkStart w:id="18" w:name="_Hlk180511799"/>
      <w:r>
        <w:rPr>
          <w:rFonts w:ascii="Arial" w:hAnsi="Arial" w:cs="Arial"/>
          <w:b/>
          <w:sz w:val="22"/>
          <w:szCs w:val="22"/>
        </w:rPr>
        <w:t xml:space="preserve">REIKALAVIMAI </w:t>
      </w:r>
      <w:r>
        <w:rPr>
          <w:rFonts w:ascii="Arial" w:hAnsi="Arial" w:cs="Arial"/>
          <w:b/>
          <w:bCs/>
          <w:sz w:val="22"/>
          <w:szCs w:val="22"/>
        </w:rPr>
        <w:t xml:space="preserve">INŽINERINIAMS GEODEZINIAMS TYRIMAMS</w:t>
      </w:r>
    </w:p>
    <w:p w14:paraId="64466350">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Vadovaujantis STR 1.04.04:2017 „Statinio projektavimas, projekto ekspertizė“ 26 punktu, </w:t>
      </w:r>
      <w:r>
        <w:rPr>
          <w:rFonts w:ascii="Arial" w:hAnsi="Arial" w:cs="Arial"/>
          <w:sz w:val="22"/>
          <w:szCs w:val="22"/>
          <w:lang w:eastAsia="lt-LT"/>
        </w:rPr>
        <w:t xml:space="preserve">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p>
    <w:p w14:paraId="6446635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Topografinis planas ir ITO_EDR parenkamas pilno turinio, kai vaizduojami visi vietovėje esantys objektai.</w:t>
      </w:r>
    </w:p>
    <w:p w14:paraId="64466352">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w:t>
      </w:r>
      <w:r>
        <w:rPr>
          <w:rFonts w:ascii="Arial" w:hAnsi="Arial" w:cs="Arial"/>
          <w:sz w:val="22"/>
          <w:szCs w:val="22"/>
        </w:rPr>
        <w:t xml:space="preserve">sudarymo tvarkos aprašas“, GKTR 3.01:2023 ,,Išmatuotų topografinių ir inžinerinių tinklų objektų erdvinių duomenų rinkinys“ reikalavimais.</w:t>
      </w:r>
    </w:p>
    <w:bookmarkEnd w:id="18"/>
    <w:p w14:paraId="64466353">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64466354">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Tyrinėjant esamus inžinerinius tinklus turi būti nustatyti jų gyliai (nurodant altitudes *.pdf byloje ar *.dwg</w:t>
      </w:r>
      <w:r>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64466355">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Topografiniuose planuose turi būti sužymėti visų kelią kertančių griovių dugno altitudės, pralaidų diametrai, medžiaga, pralaidų dugno altitudės. Sužymėtos pavienių medžių rūšys, diametrai.</w:t>
      </w:r>
    </w:p>
    <w:p w14:paraId="64466356">
      <w:pPr>
        <w:numPr>
          <w:ilvl w:val="1"/>
          <w:numId w:val="2"/>
        </w:numPr>
        <w:suppressAutoHyphens/>
        <w:spacing w:line="259" w:lineRule="auto"/>
        <w:ind w:left="567" w:firstLine="0"/>
        <w:rPr>
          <w:rFonts w:ascii="Arial" w:hAnsi="Arial" w:cs="Arial"/>
          <w:i/>
          <w:iCs/>
          <w:sz w:val="22"/>
          <w:szCs w:val="22"/>
        </w:rPr>
      </w:pPr>
      <w:bookmarkStart w:id="19" w:name="_Hlk165908637"/>
      <w:r>
        <w:rPr>
          <w:rFonts w:ascii="Arial" w:hAnsi="Arial" w:cs="Arial"/>
          <w:sz w:val="22"/>
          <w:szCs w:val="22"/>
        </w:rPr>
        <w:t xml:space="preserve">Topografiniame plane ar kitame brėžinyje (inžinerinių tinklų plane) turi būti pažymėti esami požeminiai inžineriniai tinklai.</w:t>
      </w:r>
      <w:bookmarkEnd w:id="19"/>
    </w:p>
    <w:p w14:paraId="64466357">
      <w:pPr>
        <w:numPr>
          <w:ilvl w:val="0"/>
          <w:numId w:val="2"/>
        </w:numPr>
        <w:suppressAutoHyphens/>
        <w:spacing w:before="120" w:after="120" w:line="259" w:lineRule="auto"/>
        <w:ind w:left="567" w:firstLine="0"/>
        <w:jc w:val="left"/>
        <w:rPr>
          <w:rFonts w:ascii="Arial" w:hAnsi="Arial" w:cs="Arial"/>
          <w:i/>
          <w:iCs/>
          <w:sz w:val="22"/>
          <w:szCs w:val="22"/>
        </w:rPr>
      </w:pPr>
      <w:bookmarkStart w:id="20" w:name="part_39f2f21f773c4d54af51e08a3dbf28bd"/>
      <w:bookmarkEnd w:id="20"/>
      <w:r>
        <w:rPr>
          <w:rFonts w:ascii="Arial" w:hAnsi="Arial" w:cs="Arial"/>
          <w:b/>
          <w:sz w:val="22"/>
          <w:szCs w:val="22"/>
        </w:rPr>
        <w:t xml:space="preserve">REIKALAVIMAI</w:t>
      </w:r>
      <w:bookmarkStart w:id="21" w:name="_Hlk30418311"/>
      <w:r>
        <w:rPr>
          <w:rFonts w:ascii="Arial" w:hAnsi="Arial" w:cs="Arial"/>
          <w:i/>
          <w:iCs/>
          <w:sz w:val="22"/>
          <w:szCs w:val="22"/>
        </w:rPr>
        <w:t xml:space="preserve"> </w:t>
      </w:r>
      <w:r>
        <w:rPr>
          <w:rFonts w:ascii="Arial" w:hAnsi="Arial" w:cs="Arial"/>
          <w:b/>
          <w:bCs/>
          <w:sz w:val="22"/>
          <w:szCs w:val="22"/>
        </w:rPr>
        <w:t xml:space="preserve">INŽINERINIAMS GEOLOGINIAMS IR GEOTECHNINIAMS TYRIMAMS</w:t>
      </w:r>
      <w:bookmarkEnd w:id="21"/>
    </w:p>
    <w:p w14:paraId="64466358">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4466359">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IGG tyrimų rūšis – atliekami projektiniai tyrimai.</w:t>
      </w:r>
    </w:p>
    <w:p w14:paraId="6446635A">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Laboratoriniai tyrimai atliekami pagal R IGGT 15 „Automobilių kelių inžinerinių geologinių ir geotechninių bei statinio tyrimo rekomendacijose“ nurodytus standartus.</w:t>
      </w:r>
    </w:p>
    <w:p w14:paraId="6446635B">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Ataskaitoje turi būti pateikti laboratorinių bandymų protokolai, inžinerinis geologinis pjūvis, išvados ir rekomendacijos bei pridėtos fotonuotraukos:</w:t>
      </w:r>
    </w:p>
    <w:p w14:paraId="6446635C">
      <w:pPr>
        <w:numPr>
          <w:ilvl w:val="0"/>
          <w:numId w:val="1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prie kiekvieno gręžinio būtina padaryti bendrą atpažįstamą vietovės nuotrauką su gręžimo technika ar įranga bei gręžinio Nr;</w:t>
      </w:r>
    </w:p>
    <w:p w14:paraId="6446635D">
      <w:pPr>
        <w:numPr>
          <w:ilvl w:val="0"/>
          <w:numId w:val="1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 xml:space="preserve">kiekvieno gręžinio grunto sluoksnių intervalų fotofiksacija su intervalo fiksavimo paletine liniuote (nurodant gręžinio intervalą, gręžinio numerį, projekto pavadinimą, datą;</w:t>
      </w:r>
    </w:p>
    <w:p w14:paraId="6446635E">
      <w:pPr>
        <w:suppressAutoHyphens/>
        <w:spacing/>
        <w:ind w:left="1287" w:hanging="436"/>
        <w:contextualSpacing/>
        <w:rPr>
          <w:rFonts w:ascii="Arial" w:hAnsi="Arial" w:cs="Arial"/>
          <w:i/>
          <w:iCs/>
          <w:sz w:val="22"/>
          <w:szCs w:val="22"/>
        </w:rPr>
      </w:pPr>
      <w:r>
        <w:rPr>
          <w:rFonts w:ascii="Arial" w:hAnsi="Arial" w:cs="Arial"/>
          <w:i/>
          <w:iCs/>
          <w:sz w:val="22"/>
          <w:szCs w:val="22"/>
        </w:rPr>
        <w:t xml:space="preserve"> kiekvieno paimto grunto mėginio nuotrauką su informacija mėginio paėmimo etiketėje (objekto pavadinimas, gręžinio numeris, mėginio numeris, mėginio apėmimo intervalas, data, grunto pavadinimas);</w:t>
      </w:r>
    </w:p>
    <w:p w14:paraId="6446635F">
      <w:pPr>
        <w:numPr>
          <w:ilvl w:val="0"/>
          <w:numId w:val="1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 xml:space="preserve">iš visų  gręžtų gręžinių  ant kelio konstrukcijos paimti ir atlikti laboratorinius tyrimus iš šalčiui atsparaus sluoksnio ir sankasos viršutinių  gruntų.</w:t>
      </w:r>
    </w:p>
    <w:p w14:paraId="64466360">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Gręžinių aprašymuose, išilginio geologinio pjūvio brėžiniuose gruntai turi būti klasifikuojami remiantis LST 1331 standarto reikalavimais.</w:t>
      </w:r>
    </w:p>
    <w:p w14:paraId="64466361">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Projektinės dokumentacijos išilginių profilių brėžiniuose turi būti pateikiamas ir išilginis geologinis pjūvis.</w:t>
      </w:r>
    </w:p>
    <w:p w14:paraId="64466362">
      <w:pPr>
        <w:numPr>
          <w:ilvl w:val="1"/>
          <w:numId w:val="2"/>
        </w:numPr>
        <w:suppressAutoHyphens/>
        <w:spacing w:line="259" w:lineRule="auto"/>
        <w:ind w:left="567" w:firstLine="0"/>
        <w:rPr>
          <w:rFonts w:ascii="Arial" w:hAnsi="Arial" w:cs="Arial"/>
          <w:color w:val="EE0000"/>
          <w:sz w:val="22"/>
          <w:szCs w:val="22"/>
        </w:rPr>
      </w:pPr>
      <w:r>
        <w:rPr>
          <w:rFonts w:ascii="Arial" w:hAnsi="Arial" w:cs="Arial"/>
          <w:sz w:val="22"/>
          <w:szCs w:val="22"/>
        </w:rPr>
        <w:t xml:space="preserve">Geologijos ataskaitoje turi būti nustatytas augalinio sluoksnio storis, organinės medžiagos kiekis.</w:t>
      </w:r>
    </w:p>
    <w:p w14:paraId="64466363">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w:t>
      </w:r>
      <w:r>
        <w:rPr>
          <w:rFonts w:ascii="Arial" w:hAnsi="Arial" w:cs="Arial"/>
          <w:sz w:val="22"/>
          <w:szCs w:val="22"/>
        </w:rPr>
        <w:t xml:space="preserve">ų žiniaraščius.</w:t>
      </w:r>
    </w:p>
    <w:p w14:paraId="64466364">
      <w:pPr>
        <w:numPr>
          <w:ilvl w:val="1"/>
          <w:numId w:val="2"/>
        </w:numPr>
        <w:suppressAutoHyphens/>
        <w:spacing w:line="259" w:lineRule="auto"/>
        <w:ind w:left="567" w:firstLine="0"/>
        <w:rPr>
          <w:rFonts w:ascii="Arial" w:hAnsi="Arial" w:cs="Arial"/>
          <w:sz w:val="22"/>
          <w:szCs w:val="22"/>
        </w:rPr>
      </w:pPr>
      <w:r>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64466365">
      <w:pPr>
        <w:numPr>
          <w:ilvl w:val="1"/>
          <w:numId w:val="2"/>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64466366">
      <w:pPr>
        <w:numPr>
          <w:ilvl w:val="1"/>
          <w:numId w:val="2"/>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Pateikti Lietuvos geologijos tarnybos projektinių IGG tyrimų ataskaitos vertinimo dokumentą (STR1.04.04:2017 „Statinio projektavimas, projekto ekspertizė“ 8 priedo p.5.6.4</w:t>
      </w:r>
      <w:r>
        <w:rPr>
          <w:rFonts w:ascii="Arial" w:hAnsi="Arial" w:eastAsiaTheme="minorHAnsi" w:cs="Arial"/>
          <w:sz w:val="22"/>
          <w:szCs w:val="22"/>
          <w:vertAlign w:val="superscript"/>
        </w:rPr>
        <w:t xml:space="preserve">1</w:t>
      </w:r>
      <w:r>
        <w:rPr>
          <w:rFonts w:ascii="Arial" w:hAnsi="Arial" w:eastAsiaTheme="minorHAnsi" w:cs="Arial"/>
          <w:sz w:val="22"/>
          <w:szCs w:val="22"/>
        </w:rPr>
        <w:t xml:space="preserve">).</w:t>
      </w:r>
    </w:p>
    <w:p w14:paraId="64466367">
      <w:pPr>
        <w:numPr>
          <w:ilvl w:val="1"/>
          <w:numId w:val="2"/>
        </w:numPr>
        <w:suppressAutoHyphens/>
        <w:spacing w:line="259" w:lineRule="auto"/>
        <w:ind w:left="567" w:firstLine="0"/>
        <w:rPr>
          <w:rFonts w:ascii="Arial" w:hAnsi="Arial" w:cs="Arial"/>
          <w:sz w:val="22"/>
          <w:szCs w:val="22"/>
        </w:rPr>
      </w:pPr>
      <w:r>
        <w:rPr>
          <w:rFonts w:ascii="Arial" w:hAnsi="Arial" w:eastAsiaTheme="minorHAnsi" w:cs="Arial"/>
          <w:sz w:val="22"/>
          <w:szCs w:val="22"/>
        </w:rPr>
        <w:t xml:space="preserve">suvestiniame inžinerinių tinklų plane pateikti IGG gręžinių vietas, nurodant piketus, bei gręžinių numerius, kurie atitinka geologinėje tyrimų ataskaitoje pateiktus gręžinių numerius.</w:t>
      </w:r>
    </w:p>
    <w:p w14:paraId="64466368">
      <w:pPr>
        <w:suppressAutoHyphens/>
        <w:spacing w:line="259" w:lineRule="auto"/>
        <w:ind w:left="567"/>
        <w:rPr>
          <w:rFonts w:ascii="Arial" w:hAnsi="Arial" w:cs="Arial"/>
          <w:i/>
          <w:iCs/>
          <w:sz w:val="22"/>
          <w:szCs w:val="22"/>
        </w:rPr>
      </w:pPr>
    </w:p>
    <w:p w14:paraId="64466369">
      <w:pPr>
        <w:numPr>
          <w:ilvl w:val="0"/>
          <w:numId w:val="2"/>
        </w:numPr>
        <w:suppressAutoHyphens/>
        <w:spacing w:before="120" w:after="120" w:line="259" w:lineRule="auto"/>
        <w:ind w:left="567" w:firstLine="0"/>
        <w:jc w:val="left"/>
        <w:rPr>
          <w:rFonts w:ascii="Arial" w:hAnsi="Arial" w:cs="Arial"/>
          <w:i/>
          <w:iCs/>
          <w:sz w:val="22"/>
          <w:szCs w:val="22"/>
        </w:rPr>
      </w:pPr>
      <w:r>
        <w:rPr>
          <w:rFonts w:ascii="Arial" w:hAnsi="Arial" w:cs="Arial"/>
          <w:b/>
          <w:bCs/>
          <w:sz w:val="22"/>
          <w:szCs w:val="22"/>
        </w:rPr>
        <w:t xml:space="preserve">REIKALAVIMAI KELIO ELEMENTŲ PROJEKTAVIMUI</w:t>
      </w:r>
    </w:p>
    <w:p w14:paraId="6446636A">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   Išilginis profilis</w:t>
      </w:r>
    </w:p>
    <w:p w14:paraId="6446636B">
      <w:pPr>
        <w:tabs>
          <w:tab w:val="left" w:pos="1134"/>
          <w:tab w:val="left" w:pos="1418"/>
        </w:tabs>
        <w:spacing w:after="160" w:line="259" w:lineRule="auto"/>
        <w:ind w:left="567"/>
        <w:contextualSpacing/>
        <w:jc w:val="left"/>
        <w:rPr>
          <w:rFonts w:ascii="Arial" w:hAnsi="Arial" w:cs="Arial"/>
          <w:bCs/>
          <w:sz w:val="22"/>
          <w:szCs w:val="22"/>
        </w:rPr>
      </w:pPr>
      <w:r>
        <w:rPr>
          <w:rFonts w:ascii="Arial" w:hAnsi="Arial" w:cs="Arial"/>
          <w:bCs/>
          <w:sz w:val="22"/>
          <w:szCs w:val="22"/>
        </w:rPr>
        <w:t xml:space="preserve">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w:t>
      </w:r>
      <w:r>
        <w:rPr>
          <w:rFonts w:ascii="Arial" w:hAnsi="Arial" w:cs="Arial"/>
          <w:bCs/>
          <w:sz w:val="22"/>
          <w:szCs w:val="22"/>
        </w:rPr>
        <w:t xml:space="preserve">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6446636C">
      <w:pPr>
        <w:numPr>
          <w:ilvl w:val="1"/>
          <w:numId w:val="2"/>
        </w:numPr>
        <w:tabs>
          <w:tab w:val="left" w:pos="1134"/>
          <w:tab w:val="left" w:pos="1418"/>
        </w:tabs>
        <w:spacing w:after="160" w:line="259" w:lineRule="auto"/>
        <w:ind w:left="567" w:firstLine="0"/>
        <w:contextualSpacing/>
        <w:jc w:val="left"/>
        <w:rPr>
          <w:rFonts w:ascii="Arial" w:hAnsi="Arial" w:cs="Arial"/>
          <w:b/>
          <w:sz w:val="22"/>
          <w:szCs w:val="22"/>
        </w:rPr>
      </w:pPr>
      <w:r>
        <w:rPr>
          <w:rFonts w:ascii="Arial" w:hAnsi="Arial" w:cs="Arial"/>
          <w:b/>
          <w:sz w:val="22"/>
          <w:szCs w:val="22"/>
        </w:rPr>
        <w:t xml:space="preserve">Skersiniai profiliai</w:t>
      </w:r>
    </w:p>
    <w:p w14:paraId="6446636D">
      <w:pPr>
        <w:tabs>
          <w:tab w:val="left" w:pos="1134"/>
          <w:tab w:val="left" w:pos="1418"/>
        </w:tabs>
        <w:spacing w:after="160" w:line="259" w:lineRule="auto"/>
        <w:ind w:left="567"/>
        <w:contextualSpacing/>
        <w:jc w:val="left"/>
        <w:rPr>
          <w:rFonts w:ascii="Arial" w:hAnsi="Arial" w:cs="Arial"/>
          <w:b/>
          <w:sz w:val="22"/>
          <w:szCs w:val="22"/>
        </w:rPr>
      </w:pPr>
      <w:r>
        <w:rPr>
          <w:rStyle w:val="normaltextrun"/>
          <w:rFonts w:ascii="Arial" w:hAnsi="Arial" w:cs="Arial"/>
          <w:sz w:val="22"/>
          <w:szCs w:val="22"/>
        </w:rPr>
        <w:t xml:space="preserve">Būtina pateikti projektuojamų dangos konstrukcijų skersinius profilius (pylime, iškasoje, drenažo įrengimo vietose, viražuose</w:t>
      </w:r>
      <w:r>
        <w:rPr>
          <w:rStyle w:val="normaltextrun"/>
        </w:rPr>
        <w:t xml:space="preserve"> </w:t>
      </w:r>
      <w:r>
        <w:rPr>
          <w:rStyle w:val="normaltextrun"/>
          <w:rFonts w:ascii="Arial" w:hAnsi="Arial" w:cs="Arial"/>
          <w:sz w:val="22"/>
          <w:szCs w:val="22"/>
        </w:rPr>
        <w:t xml:space="preserve">autobusų sustojimo aikštelių, apsauginių kelio atitvarų, pakopų įrengimo, nuovažų, sankryžų, pėsčiųjų perėjų, greičio mažinimo priemonių vietose ir kt.) kartu su dangos konstrukcijos skersinių profilių tipų naudojimo lentele, visų pralaidų po kelio statiniu skerspjūvius. Taip pat pateikiamos griovių tvirtinimo, kelio konstrukcijos ir kelkraščio / esamos dangos sujungimo, atitvarų, signalinio stulpelių bei kitos aktualios detalės.</w:t>
      </w:r>
      <w:r>
        <w:rPr>
          <w:rStyle w:val="eop"/>
          <w:rFonts w:ascii="Arial" w:hAnsi="Arial" w:cs="Arial"/>
          <w:sz w:val="22"/>
          <w:szCs w:val="22"/>
        </w:rPr>
        <w:t xml:space="preserve"> </w:t>
      </w:r>
    </w:p>
    <w:p w14:paraId="6446636E">
      <w:pPr>
        <w:pStyle w:val="paragraph"/>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t xml:space="preserve">Būtina pateikti „darbinius“ skersinius masteliu 1:20-1:100, kuriuose būtų matoma ši informacija:</w:t>
      </w:r>
      <w:r>
        <w:rPr>
          <w:rStyle w:val="eop"/>
          <w:rFonts w:ascii="Arial" w:hAnsi="Arial" w:cs="Arial"/>
          <w:sz w:val="22"/>
          <w:szCs w:val="22"/>
        </w:rPr>
        <w:t xml:space="preserve"> </w:t>
      </w:r>
    </w:p>
    <w:p w14:paraId="6446636F">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Esamo paviršiaus linija (pageidautina žalios spalvos);</w:t>
      </w:r>
      <w:r>
        <w:rPr>
          <w:rStyle w:val="eop"/>
          <w:rFonts w:ascii="Arial" w:hAnsi="Arial" w:cs="Arial"/>
          <w:sz w:val="22"/>
          <w:szCs w:val="22"/>
        </w:rPr>
        <w:t xml:space="preserve"> </w:t>
      </w:r>
    </w:p>
    <w:p w14:paraId="64466370">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Projektinio paviršiaus linija (pageidautina raudonos spalvos);</w:t>
      </w:r>
      <w:r>
        <w:rPr>
          <w:rStyle w:val="eop"/>
          <w:rFonts w:ascii="Arial" w:hAnsi="Arial" w:cs="Arial"/>
          <w:sz w:val="22"/>
          <w:szCs w:val="22"/>
        </w:rPr>
        <w:t xml:space="preserve"> </w:t>
      </w:r>
    </w:p>
    <w:p w14:paraId="64466371">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Projektinės konstrukcijos apačios arba/ir iškasamo grunto linija (pageidautina raudonos spalvos); </w:t>
      </w:r>
      <w:r>
        <w:rPr>
          <w:rStyle w:val="eop"/>
          <w:rFonts w:ascii="Arial" w:hAnsi="Arial" w:cs="Arial"/>
          <w:sz w:val="22"/>
          <w:szCs w:val="22"/>
        </w:rPr>
        <w:t xml:space="preserve"> </w:t>
      </w:r>
    </w:p>
    <w:p w14:paraId="64466372">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Skirtingų konstrukcinių sluoksnių linija (pageidautina raudonos spalvos);</w:t>
      </w:r>
      <w:r>
        <w:rPr>
          <w:rStyle w:val="eop"/>
          <w:rFonts w:ascii="Arial" w:hAnsi="Arial" w:cs="Arial"/>
          <w:sz w:val="22"/>
          <w:szCs w:val="22"/>
        </w:rPr>
        <w:t xml:space="preserve"> </w:t>
      </w:r>
    </w:p>
    <w:p w14:paraId="64466373">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Sklypų ribos;</w:t>
      </w:r>
      <w:r>
        <w:rPr>
          <w:rStyle w:val="eop"/>
          <w:rFonts w:ascii="Arial" w:hAnsi="Arial" w:cs="Arial"/>
          <w:sz w:val="22"/>
          <w:szCs w:val="22"/>
        </w:rPr>
        <w:t xml:space="preserve"> </w:t>
      </w:r>
    </w:p>
    <w:p w14:paraId="64466374">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Esami ir projektuojami inžineriniai tinklai, prieštriukšminės ir atraminės sienutės, želdinių alėjos;</w:t>
      </w:r>
      <w:r>
        <w:rPr>
          <w:rStyle w:val="eop"/>
          <w:rFonts w:ascii="Arial" w:hAnsi="Arial" w:cs="Arial"/>
          <w:sz w:val="22"/>
          <w:szCs w:val="22"/>
        </w:rPr>
        <w:t xml:space="preserve"> </w:t>
      </w:r>
    </w:p>
    <w:p w14:paraId="64466375">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Greta esančių pastatų ar kitų inžinerinių statinių artimiausias kontūras;</w:t>
      </w:r>
      <w:r>
        <w:rPr>
          <w:rStyle w:val="eop"/>
          <w:rFonts w:ascii="Arial" w:hAnsi="Arial" w:cs="Arial"/>
          <w:sz w:val="22"/>
          <w:szCs w:val="22"/>
        </w:rPr>
        <w:t xml:space="preserve"> </w:t>
      </w:r>
    </w:p>
    <w:p w14:paraId="64466376">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Projektinių dangų (važiuojamosios dalies, takų) skersiniai nuolydžiai %;</w:t>
      </w:r>
      <w:r>
        <w:rPr>
          <w:rStyle w:val="eop"/>
          <w:rFonts w:ascii="Arial" w:hAnsi="Arial" w:cs="Arial"/>
          <w:sz w:val="22"/>
          <w:szCs w:val="22"/>
        </w:rPr>
        <w:t xml:space="preserve"> </w:t>
      </w:r>
    </w:p>
    <w:p w14:paraId="64466377">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Sankasos ir griovių šlaitų nuolydžiai 1:..;</w:t>
      </w:r>
      <w:r>
        <w:rPr>
          <w:rStyle w:val="eop"/>
          <w:rFonts w:ascii="Arial" w:hAnsi="Arial" w:cs="Arial"/>
          <w:sz w:val="22"/>
          <w:szCs w:val="22"/>
        </w:rPr>
        <w:t xml:space="preserve"> </w:t>
      </w:r>
    </w:p>
    <w:p w14:paraId="64466378">
      <w:pPr>
        <w:pStyle w:val="paragraph"/>
        <w:numPr>
          <w:ilvl w:val="0"/>
          <w:numId w:val="67"/>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Projektinė dangos altitudė ir atstumas nuo projektinės ašies kelio ašyje, asfalto dangos kraštuose, kelkraščio briaunose, projektinio griovio dugne, pylimo arba iškasos šlaite</w:t>
      </w:r>
      <w:r>
        <w:rPr>
          <w:rStyle w:val="eop"/>
          <w:rFonts w:ascii="Arial" w:hAnsi="Arial" w:cs="Arial"/>
          <w:sz w:val="22"/>
          <w:szCs w:val="22"/>
        </w:rPr>
        <w:t xml:space="preserve"> </w:t>
      </w:r>
    </w:p>
    <w:p w14:paraId="64466379">
      <w:pPr>
        <w:pStyle w:val="paragraph"/>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t xml:space="preserve">Darbinių skersinių pjūvių tankumas:</w:t>
      </w:r>
      <w:r>
        <w:rPr>
          <w:rStyle w:val="eop"/>
          <w:rFonts w:ascii="Arial" w:hAnsi="Arial" w:cs="Arial"/>
          <w:sz w:val="22"/>
          <w:szCs w:val="22"/>
        </w:rPr>
        <w:t xml:space="preserve"> </w:t>
      </w:r>
    </w:p>
    <w:p w14:paraId="6446637A">
      <w:pPr>
        <w:pStyle w:val="paragraph"/>
        <w:numPr>
          <w:ilvl w:val="0"/>
          <w:numId w:val="13"/>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Tiesėje kas 100 m;</w:t>
      </w:r>
      <w:r>
        <w:rPr>
          <w:rStyle w:val="eop"/>
          <w:rFonts w:ascii="Arial" w:hAnsi="Arial" w:cs="Arial"/>
          <w:sz w:val="22"/>
          <w:szCs w:val="22"/>
        </w:rPr>
        <w:t xml:space="preserve"> </w:t>
      </w:r>
    </w:p>
    <w:p w14:paraId="6446637B">
      <w:pPr>
        <w:pStyle w:val="paragraph"/>
        <w:numPr>
          <w:ilvl w:val="0"/>
          <w:numId w:val="13"/>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Kreivėse kas 20 m;</w:t>
      </w:r>
      <w:r>
        <w:rPr>
          <w:rStyle w:val="eop"/>
          <w:rFonts w:ascii="Arial" w:hAnsi="Arial" w:cs="Arial"/>
          <w:sz w:val="22"/>
          <w:szCs w:val="22"/>
        </w:rPr>
        <w:t xml:space="preserve"> </w:t>
      </w:r>
    </w:p>
    <w:p w14:paraId="6446637C">
      <w:pPr>
        <w:pStyle w:val="paragraph"/>
        <w:numPr>
          <w:ilvl w:val="0"/>
          <w:numId w:val="13"/>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Viražų įrengimo charakteringuose taškuose;</w:t>
      </w:r>
      <w:r>
        <w:rPr>
          <w:rStyle w:val="eop"/>
          <w:rFonts w:ascii="Arial" w:hAnsi="Arial" w:cs="Arial"/>
          <w:sz w:val="22"/>
          <w:szCs w:val="22"/>
        </w:rPr>
        <w:t xml:space="preserve"> </w:t>
      </w:r>
    </w:p>
    <w:p w14:paraId="6446637D">
      <w:pPr>
        <w:pStyle w:val="paragraph"/>
        <w:numPr>
          <w:ilvl w:val="0"/>
          <w:numId w:val="13"/>
        </w:numPr>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Ties autobusų sustojimo stotelėmis.</w:t>
      </w:r>
      <w:r>
        <w:rPr>
          <w:rStyle w:val="eop"/>
          <w:rFonts w:ascii="Arial" w:hAnsi="Arial" w:cs="Arial"/>
          <w:sz w:val="22"/>
          <w:szCs w:val="22"/>
        </w:rPr>
        <w:t xml:space="preserve"> </w:t>
      </w:r>
    </w:p>
    <w:p w14:paraId="6446637E">
      <w:pPr>
        <w:numPr>
          <w:ilvl w:val="1"/>
          <w:numId w:val="2"/>
        </w:numPr>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Žemės sankasa </w:t>
      </w:r>
    </w:p>
    <w:p w14:paraId="6446637F">
      <w:pPr>
        <w:suppressAutoHyphens/>
        <w:spacing w:line="259" w:lineRule="auto"/>
        <w:ind w:left="567"/>
        <w:jc w:val="left"/>
        <w:rPr>
          <w:rFonts w:ascii="Arial" w:hAnsi="Arial" w:cs="Arial"/>
          <w:sz w:val="22"/>
          <w:szCs w:val="22"/>
        </w:rPr>
      </w:pPr>
      <w:r>
        <w:rPr>
          <w:rFonts w:ascii="Arial" w:hAnsi="Arial" w:cs="Arial"/>
          <w:sz w:val="22"/>
          <w:szCs w:val="22"/>
        </w:rPr>
        <w:t xml:space="preserve">Sankasos šlaitai turi būti projektuojami ne statesni kaip 1:1,5. Išimtinais atvejais, esant poreikiui taikyti netipinius sprendinius (statesnius šlaitus nei 1:1,5), būtina taikyti papildomas priemones šlaitų stabilumui užtikrinti. Šlaitų statesnių nei 1:1,5  stabilumas turi būti patikrintas ir pagrįstas skaičiavimais. Individualių sprendinių taikymo priežastys, skaičiavimų rezultatai ir parinktos papildomos priemonės turi būti aprašomi susisiekimo dalies aiškinamajame rašte, vietos nurodomos Pk. Šlaitų stab</w:t>
      </w:r>
      <w:r>
        <w:rPr>
          <w:rFonts w:ascii="Arial" w:hAnsi="Arial" w:cs="Arial"/>
          <w:sz w:val="22"/>
          <w:szCs w:val="22"/>
        </w:rPr>
        <w:t xml:space="preserve">ilumo skaičiavimai pateikiami susisiekimo dalies prieduose. </w:t>
      </w:r>
    </w:p>
    <w:p w14:paraId="64466380">
      <w:pPr>
        <w:suppressAutoHyphens/>
        <w:spacing w:line="259" w:lineRule="auto"/>
        <w:ind w:left="567"/>
        <w:jc w:val="left"/>
        <w:rPr>
          <w:rFonts w:ascii="Arial" w:hAnsi="Arial" w:cs="Arial"/>
          <w:sz w:val="22"/>
          <w:szCs w:val="22"/>
        </w:rPr>
      </w:pPr>
      <w:r>
        <w:rPr>
          <w:rFonts w:ascii="Arial" w:hAnsi="Arial" w:cs="Arial"/>
          <w:sz w:val="22"/>
          <w:szCs w:val="22"/>
        </w:rPr>
        <w:t xml:space="preserve">Taikyti dokumento „Vandens telkinių apsauga APR-VTA 10“ 4 lentelėje pateikiamas rekomenduojamas prevencines ir laikinąsias šlaitų paviršiaus apsaugos nuo erozijos priemones. Rizikingose vietose ir / ar </w:t>
      </w:r>
      <w:r>
        <w:rPr>
          <w:rFonts w:ascii="Arial" w:hAnsi="Arial" w:cs="Arial"/>
          <w:sz w:val="22"/>
          <w:szCs w:val="22"/>
        </w:rPr>
        <w:t xml:space="preserve">jei iki rudens nespėjama užsėti nuolatine žole, rekomenduojama parinktą žolių mišinį papildyti (iki 10 %) javais (pvz. rugiais) ar laikinam želdinimui naudoti javus</w:t>
      </w:r>
    </w:p>
    <w:p w14:paraId="64466381">
      <w:pPr>
        <w:numPr>
          <w:ilvl w:val="1"/>
          <w:numId w:val="2"/>
        </w:numPr>
        <w:suppressAutoHyphens/>
        <w:spacing w:line="259" w:lineRule="auto"/>
        <w:ind w:left="567" w:firstLine="0"/>
        <w:jc w:val="left"/>
        <w:rPr>
          <w:rFonts w:ascii="Arial" w:hAnsi="Arial" w:cs="Arial"/>
          <w:b/>
          <w:bCs/>
          <w:i/>
          <w:iCs/>
          <w:sz w:val="22"/>
          <w:szCs w:val="22"/>
        </w:rPr>
      </w:pPr>
      <w:r>
        <w:rPr>
          <w:rFonts w:ascii="Arial" w:hAnsi="Arial" w:cs="Arial"/>
          <w:b/>
          <w:bCs/>
          <w:sz w:val="22"/>
          <w:szCs w:val="22"/>
        </w:rPr>
        <w:t xml:space="preserve">Nuovažos</w:t>
      </w:r>
    </w:p>
    <w:p w14:paraId="64466382">
      <w:pPr>
        <w:spacing/>
        <w:ind w:left="567"/>
        <w:rPr>
          <w:rFonts w:ascii="Arial" w:hAnsi="Arial" w:cs="Arial"/>
          <w:sz w:val="22"/>
          <w:szCs w:val="22"/>
        </w:rPr>
      </w:pPr>
      <w:r>
        <w:rPr>
          <w:rFonts w:ascii="Arial" w:hAnsi="Arial" w:cs="Arial"/>
          <w:sz w:val="22"/>
          <w:szCs w:val="22"/>
        </w:rPr>
        <w:t xml:space="preserve">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 (pagrindus – iki sklypo ribos), o į savivaldybėms priklausančius kelius ar kitus valstybinės reikšmės kelius – iki kelio sklypo ribos, numatant nuovažos sklandų sujungimą su esamu keliu (gatve). Nuovažos asfalto</w:t>
      </w:r>
      <w:r>
        <w:rPr>
          <w:rFonts w:ascii="Arial" w:hAnsi="Arial" w:cs="Arial"/>
          <w:sz w:val="22"/>
          <w:szCs w:val="22"/>
        </w:rPr>
        <w:t xml:space="preserve"> danga projektuojama ne didesniu nei 8 proc. nuolydžiu, o suvedimas su esamu neasfaltuotu keliu (gatve) turi būti numatytas ne didesniu nei 12 proc. nuolydžiu. Kai nuovažas kerta takas, nuo kelio iki tako nuovažą projektuoti iki 8 proc. nuolydžiu, per taką – (+-)2 proc., o suvedime iki sklypo ribos gali būti iki 12 proc. nuolydis Projektiniai nuolydžiai nurodomi projekto brėžiniuose. </w:t>
      </w:r>
    </w:p>
    <w:p w14:paraId="64466383">
      <w:pPr>
        <w:spacing/>
        <w:ind w:left="567"/>
        <w:rPr>
          <w:rFonts w:ascii="Arial" w:hAnsi="Arial" w:cs="Arial"/>
          <w:sz w:val="22"/>
          <w:szCs w:val="22"/>
        </w:rPr>
      </w:pPr>
      <w:r>
        <w:rPr>
          <w:rFonts w:ascii="Arial" w:hAnsi="Arial" w:cs="Arial"/>
          <w:sz w:val="22"/>
          <w:szCs w:val="22"/>
        </w:rPr>
        <w:t xml:space="preserve">Individualios nuovažos rengiamos tik išskirtinais atvejais ir tik Teikėjui pagrindus tokio tipo nuovažos reikalingumą, visais kitais – tipinės. Nuovažų tipas turi būti parenkamas ne mažesnis kaip 4/4</w:t>
      </w:r>
      <w:r>
        <w:rPr>
          <w:rFonts w:ascii="Arial" w:hAnsi="Arial" w:cs="Arial"/>
          <w:sz w:val="22"/>
          <w:szCs w:val="22"/>
          <w:vertAlign w:val="superscript"/>
        </w:rPr>
        <w:t xml:space="preserve">V</w:t>
      </w:r>
      <w:r>
        <w:rPr>
          <w:rFonts w:ascii="Arial" w:hAnsi="Arial" w:cs="Arial"/>
          <w:sz w:val="22"/>
          <w:szCs w:val="22"/>
        </w:rPr>
        <w:t xml:space="preserve">/4p/4p</w:t>
      </w:r>
      <w:r>
        <w:rPr>
          <w:rFonts w:ascii="Arial" w:hAnsi="Arial" w:cs="Arial"/>
          <w:sz w:val="22"/>
          <w:szCs w:val="22"/>
          <w:vertAlign w:val="superscript"/>
        </w:rPr>
        <w:t xml:space="preserve">V</w:t>
      </w:r>
      <w:r>
        <w:rPr>
          <w:rFonts w:ascii="Arial" w:hAnsi="Arial" w:cs="Arial"/>
          <w:sz w:val="22"/>
          <w:szCs w:val="22"/>
        </w:rPr>
        <w:t xml:space="preserve">. Nuovažos į laukus turi būti parenkamos 4p/4p</w:t>
      </w:r>
      <w:r>
        <w:rPr>
          <w:rFonts w:ascii="Arial" w:hAnsi="Arial" w:cs="Arial"/>
          <w:sz w:val="22"/>
          <w:szCs w:val="22"/>
          <w:vertAlign w:val="superscript"/>
        </w:rPr>
        <w:t xml:space="preserve">V </w:t>
      </w:r>
      <w:r>
        <w:rPr>
          <w:rFonts w:ascii="Arial" w:hAnsi="Arial" w:cs="Arial"/>
          <w:sz w:val="22"/>
          <w:szCs w:val="22"/>
        </w:rPr>
        <w:t xml:space="preserve">tipo. 5/5</w:t>
      </w:r>
      <w:r>
        <w:rPr>
          <w:rFonts w:ascii="Arial" w:hAnsi="Arial" w:cs="Arial"/>
          <w:sz w:val="22"/>
          <w:szCs w:val="22"/>
          <w:vertAlign w:val="superscript"/>
        </w:rPr>
        <w:t xml:space="preserve">V</w:t>
      </w:r>
      <w:r>
        <w:rPr>
          <w:rFonts w:ascii="Arial" w:hAnsi="Arial" w:cs="Arial"/>
          <w:sz w:val="22"/>
          <w:szCs w:val="22"/>
        </w:rPr>
        <w:t xml:space="preserve"> tipo nuovažos gali būti parenkamos tik į namų valdos sklypus, kai yra apribotos galimybės įrengti 4 tipo nuovažas.</w:t>
      </w:r>
    </w:p>
    <w:p w14:paraId="64466384">
      <w:pPr>
        <w:spacing/>
        <w:ind w:left="567"/>
        <w:rPr>
          <w:rFonts w:ascii="Arial" w:hAnsi="Arial" w:cs="Arial"/>
          <w:sz w:val="22"/>
          <w:szCs w:val="22"/>
        </w:rPr>
      </w:pPr>
      <w:r>
        <w:rPr>
          <w:rFonts w:ascii="Arial" w:hAnsi="Arial" w:cs="Arial"/>
          <w:sz w:val="22"/>
          <w:szCs w:val="22"/>
        </w:rPr>
        <w:t xml:space="preserve">Nuovažų šalčiui atsparios dangos konstrukcijos storis turi būti toks pats, kaip ir pagrindiniame kelyje (taikoma KTR 1.01:2008 „Automobilių keliai“).</w:t>
      </w:r>
    </w:p>
    <w:p w14:paraId="64466385">
      <w:pPr>
        <w:spacing/>
        <w:ind w:left="567"/>
        <w:rPr>
          <w:rFonts w:ascii="Arial" w:hAnsi="Arial" w:cs="Arial"/>
          <w:sz w:val="22"/>
          <w:szCs w:val="22"/>
        </w:rPr>
      </w:pPr>
      <w:r>
        <w:rPr>
          <w:rFonts w:ascii="Arial" w:hAnsi="Arial" w:cs="Arial"/>
          <w:sz w:val="22"/>
          <w:szCs w:val="22"/>
        </w:rPr>
        <w:t xml:space="preserve">Gyvenvietėse nuovažos projektuojamos pagal statybos techninių reglamentų (STR, bet ne siauresnės kaip 3,50 m), bei  KPT SDK 19 „Automobilių kelių standartizuotų dangų konstrukcijų projektavimo taisyklės“ reikalavimus.</w:t>
      </w:r>
    </w:p>
    <w:p w14:paraId="64466386">
      <w:pPr>
        <w:spacing/>
        <w:ind w:left="567"/>
        <w:rPr>
          <w:rFonts w:ascii="Arial" w:hAnsi="Arial" w:cs="Arial"/>
          <w:sz w:val="22"/>
          <w:szCs w:val="22"/>
        </w:rPr>
      </w:pPr>
      <w:r>
        <w:rPr>
          <w:rFonts w:ascii="Arial" w:hAnsi="Arial" w:cs="Arial"/>
          <w:sz w:val="22"/>
          <w:szCs w:val="22"/>
        </w:rPr>
        <w:t xml:space="preserve">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w:t>
      </w:r>
      <w:r>
        <w:rPr>
          <w:rFonts w:ascii="Arial" w:hAnsi="Arial" w:cs="Arial"/>
          <w:sz w:val="22"/>
          <w:szCs w:val="22"/>
        </w:rPr>
        <w:t xml:space="preserve">e sistemose (www.tpdr.lt ar www.tpdris.lt). Aiškinamajame rašte nurodyti kokiais teritorijų planavimo ar žemėtvarkos planavimo dokumentais buvo vadovautasi (pridėti nuorodą ar skaitmeninį dokumentą) rengiant projektą. Taip pat turi būti pateikta:</w:t>
      </w:r>
    </w:p>
    <w:p w14:paraId="64466387">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nuovažos parametrai;</w:t>
      </w:r>
    </w:p>
    <w:p w14:paraId="64466388">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fotofiksacija (su data ir laiku, kada fotografuota). Draudžiama pateikinėti fotofiksacijas iš internetinių puslapių (pvz., </w:t>
      </w:r>
      <w:r>
        <w:rPr>
          <w:rFonts w:ascii="Arial" w:hAnsi="Arial" w:cs="Arial"/>
          <w:i/>
          <w:iCs/>
          <w:sz w:val="22"/>
          <w:szCs w:val="22"/>
        </w:rPr>
        <w:t xml:space="preserve">google maps</w:t>
      </w:r>
      <w:r>
        <w:rPr>
          <w:rFonts w:ascii="Arial" w:hAnsi="Arial" w:cs="Arial"/>
          <w:sz w:val="22"/>
          <w:szCs w:val="22"/>
        </w:rPr>
        <w:t xml:space="preserve"> ir pan.);</w:t>
      </w:r>
    </w:p>
    <w:p w14:paraId="64466389">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kelio kadastro duomenimis (ar nuovaža registruota);</w:t>
      </w:r>
    </w:p>
    <w:p w14:paraId="6446638A">
      <w:pPr>
        <w:numPr>
          <w:ilvl w:val="0"/>
          <w:numId w:val="55"/>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kiekvienos nuovažos paskirtis ir perspektyvinė reikšmė.</w:t>
      </w:r>
    </w:p>
    <w:p w14:paraId="6446638B">
      <w:pPr>
        <w:spacing/>
        <w:ind w:left="567"/>
        <w:rPr>
          <w:rFonts w:ascii="Arial" w:hAnsi="Arial" w:cs="Arial"/>
          <w:b/>
          <w:bCs/>
          <w:sz w:val="22"/>
          <w:szCs w:val="22"/>
        </w:rPr>
      </w:pPr>
      <w:r>
        <w:rPr>
          <w:rFonts w:ascii="Arial" w:hAnsi="Arial" w:cs="Arial"/>
          <w:sz w:val="22"/>
          <w:szCs w:val="22"/>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Pr>
          <w:rFonts w:ascii="Arial" w:hAnsi="Arial" w:cs="Arial"/>
          <w:b/>
          <w:bCs/>
          <w:sz w:val="22"/>
          <w:szCs w:val="22"/>
        </w:rPr>
        <w:t xml:space="preserve">Su šia apibendrinta nuovažų informacija ir projektiniais sprendiniais privaloma supažindinti seniūniją.</w:t>
      </w:r>
    </w:p>
    <w:p w14:paraId="6446638C">
      <w:pPr>
        <w:spacing/>
        <w:ind w:left="567"/>
        <w:rPr>
          <w:rFonts w:ascii="Arial" w:hAnsi="Arial" w:cs="Arial"/>
          <w:sz w:val="22"/>
          <w:szCs w:val="22"/>
        </w:rPr>
      </w:pPr>
      <w:r>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446638D">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Dangos konstrukcija</w:t>
      </w:r>
    </w:p>
    <w:p w14:paraId="6446638E">
      <w:pPr>
        <w:spacing/>
        <w:ind w:left="567"/>
        <w:rPr>
          <w:rFonts w:ascii="Arial" w:hAnsi="Arial" w:cs="Arial"/>
          <w:sz w:val="22"/>
          <w:szCs w:val="22"/>
        </w:rPr>
      </w:pPr>
      <w:r>
        <w:rPr>
          <w:rFonts w:ascii="Arial" w:hAnsi="Arial" w:cs="Arial"/>
          <w:sz w:val="22"/>
          <w:szCs w:val="22"/>
        </w:rPr>
        <w:t xml:space="preserve">Kelio dangos konstrukcijos parinkimui pateikti detalius dangos konstrukcijos skaičiavimus su 3 skirtingais eismo intensyvumo prieaugiais (vadovaujantis bent pastarųjų dešimties metų eismo tendencijomis).</w:t>
      </w:r>
    </w:p>
    <w:p w14:paraId="6446638F">
      <w:pPr>
        <w:spacing/>
        <w:ind w:left="567"/>
        <w:rPr>
          <w:rFonts w:ascii="Arial" w:hAnsi="Arial" w:cs="Arial"/>
          <w:sz w:val="22"/>
          <w:szCs w:val="22"/>
        </w:rPr>
      </w:pPr>
      <w:r>
        <w:rPr>
          <w:rFonts w:ascii="Arial" w:hAnsi="Arial" w:cs="Arial"/>
          <w:sz w:val="22"/>
          <w:szCs w:val="22"/>
        </w:rPr>
        <w:t xml:space="preserve">Projektuojant dangos konstrukciją turi būti įvertinamos bei parenkamos ne mažiau kaip dvi konstrukcijų alternatyvos bei pateikiami šių alternatyvų brėžiniai.</w:t>
      </w:r>
    </w:p>
    <w:p w14:paraId="64466390">
      <w:pPr>
        <w:suppressAutoHyphens/>
        <w:spacing/>
        <w:ind w:left="567"/>
        <w:rPr>
          <w:rFonts w:ascii="Arial" w:hAnsi="Arial" w:cs="Arial"/>
          <w:sz w:val="22"/>
          <w:szCs w:val="22"/>
        </w:rPr>
      </w:pPr>
      <w:r>
        <w:rPr>
          <w:rFonts w:ascii="Arial" w:hAnsi="Arial" w:eastAsiaTheme="minorHAnsi" w:cs="Arial"/>
          <w:sz w:val="22"/>
          <w:szCs w:val="22"/>
        </w:rPr>
        <w:t xml:space="preserve">Pateikti duomenis apie esamos dangos konstrukcijos sluoksnių savybes, įvertinti jų antrinio panaudojimo tinkamumą.</w:t>
      </w:r>
    </w:p>
    <w:p w14:paraId="64466391">
      <w:pPr>
        <w:numPr>
          <w:ilvl w:val="1"/>
          <w:numId w:val="2"/>
        </w:numPr>
        <w:tabs>
          <w:tab w:val="left" w:pos="720"/>
        </w:tabs>
        <w:suppressAutoHyphens/>
        <w:spacing w:line="259" w:lineRule="auto"/>
        <w:ind w:left="567" w:firstLine="0"/>
        <w:jc w:val="left"/>
        <w:rPr>
          <w:rFonts w:ascii="Arial" w:hAnsi="Arial" w:cs="Arial"/>
          <w:i/>
          <w:iCs/>
          <w:sz w:val="22"/>
          <w:szCs w:val="22"/>
        </w:rPr>
      </w:pPr>
      <w:bookmarkStart w:id="22" w:name="_Hlk178778657"/>
      <w:bookmarkStart w:id="23" w:name="_Hlk99440501"/>
      <w:r>
        <w:rPr>
          <w:rFonts w:ascii="Arial" w:hAnsi="Arial" w:cs="Arial"/>
          <w:b/>
          <w:sz w:val="22"/>
          <w:szCs w:val="22"/>
        </w:rPr>
        <w:t xml:space="preserve">Vandens nuvedimas</w:t>
      </w:r>
    </w:p>
    <w:bookmarkEnd w:id="22"/>
    <w:p w14:paraId="64466392">
      <w:pPr>
        <w:tabs>
          <w:tab w:val="left" w:pos="720"/>
        </w:tabs>
        <w:suppressAutoHyphens/>
        <w:spacing/>
        <w:ind w:left="567"/>
        <w:rPr>
          <w:rFonts w:ascii="Arial" w:hAnsi="Arial" w:cs="Arial"/>
          <w:sz w:val="22"/>
          <w:szCs w:val="22"/>
        </w:rPr>
      </w:pPr>
      <w:r>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w:t>
      </w:r>
      <w:r>
        <w:rPr>
          <w:rFonts w:ascii="Arial" w:hAnsi="Arial" w:cs="Arial"/>
          <w:sz w:val="22"/>
          <w:szCs w:val="22"/>
        </w:rPr>
        <w:t xml:space="preserve">rekonstruojamos arba pakeičiamos naujomis. Naujų pralaidų nuovažose įrengimo poreikis nustatomas projektavimo metu. Pralaidų nuovažose medžiaga – metalas, plastikas arba gelžbetonis.</w:t>
      </w:r>
    </w:p>
    <w:p w14:paraId="64466393">
      <w:pPr>
        <w:tabs>
          <w:tab w:val="left" w:pos="720"/>
        </w:tabs>
        <w:suppressAutoHyphens/>
        <w:spacing/>
        <w:ind w:left="567"/>
        <w:rPr>
          <w:rFonts w:ascii="Arial" w:hAnsi="Arial" w:cs="Arial"/>
          <w:sz w:val="22"/>
          <w:szCs w:val="22"/>
        </w:rPr>
      </w:pPr>
      <w:r>
        <w:rPr>
          <w:rFonts w:ascii="Arial" w:hAnsi="Arial" w:cs="Arial"/>
          <w:sz w:val="22"/>
          <w:szCs w:val="22"/>
        </w:rPr>
        <w:t xml:space="preserve">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w:t>
      </w:r>
      <w:r>
        <w:rPr>
          <w:rFonts w:ascii="Arial" w:hAnsi="Arial" w:cs="Arial"/>
          <w:sz w:val="22"/>
          <w:szCs w:val="22"/>
        </w:rPr>
        <w:t xml:space="preserve">r ties pralaidomis turi būti nurodytos vandens tekėjimo kryptys. Taip pat, vadovaujantis Statybos taisyklėmis, turi būti pateiktos pralaidų po kelio važiuojamąja dalimi detalizacijos kiekvienai pralaidai atskirai.</w:t>
      </w:r>
    </w:p>
    <w:p w14:paraId="64466394">
      <w:pPr>
        <w:tabs>
          <w:tab w:val="left" w:pos="720"/>
        </w:tabs>
        <w:suppressAutoHyphens/>
        <w:spacing/>
        <w:ind w:left="567"/>
        <w:rPr>
          <w:rFonts w:ascii="Arial" w:hAnsi="Arial" w:cs="Arial"/>
          <w:sz w:val="22"/>
          <w:szCs w:val="22"/>
        </w:rPr>
      </w:pPr>
      <w:r>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64466395">
      <w:pPr>
        <w:tabs>
          <w:tab w:val="left" w:pos="720"/>
        </w:tabs>
        <w:suppressAutoHyphens/>
        <w:spacing/>
        <w:ind w:left="567"/>
        <w:rPr>
          <w:rFonts w:ascii="Arial" w:hAnsi="Arial" w:cs="Arial"/>
          <w:sz w:val="22"/>
          <w:szCs w:val="22"/>
        </w:rPr>
      </w:pPr>
      <w:r>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64466396">
      <w:pPr>
        <w:tabs>
          <w:tab w:val="left" w:pos="720"/>
        </w:tabs>
        <w:suppressAutoHyphens/>
        <w:spacing/>
        <w:ind w:left="567"/>
        <w:rPr>
          <w:rFonts w:ascii="Arial" w:hAnsi="Arial" w:cs="Arial"/>
          <w:sz w:val="22"/>
          <w:szCs w:val="22"/>
        </w:rPr>
      </w:pPr>
      <w:r>
        <w:rPr>
          <w:rFonts w:ascii="Arial" w:hAnsi="Arial" w:cs="Arial"/>
          <w:sz w:val="22"/>
          <w:szCs w:val="22"/>
        </w:rPr>
        <w:t xml:space="preserve">Įvertinti ir užtikrinti vandens nuvedimo sprendinius Projekto ruožo darbų pradžioje ir pabaigoje.</w:t>
      </w:r>
    </w:p>
    <w:p w14:paraId="64466397">
      <w:pPr>
        <w:tabs>
          <w:tab w:val="left" w:pos="720"/>
        </w:tabs>
        <w:suppressAutoHyphens/>
        <w:spacing/>
        <w:ind w:left="567"/>
        <w:rPr>
          <w:rFonts w:ascii="Arial" w:hAnsi="Arial" w:cs="Arial"/>
          <w:sz w:val="22"/>
          <w:szCs w:val="22"/>
        </w:rPr>
      </w:pPr>
      <w:r>
        <w:rPr>
          <w:rFonts w:ascii="Arial" w:hAnsi="Arial" w:cs="Arial"/>
          <w:sz w:val="22"/>
          <w:szCs w:val="22"/>
        </w:rPr>
        <w:t xml:space="preserve">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64466398">
      <w:pPr>
        <w:spacing/>
        <w:ind w:left="567"/>
        <w:rPr>
          <w:rFonts w:ascii="Arial" w:hAnsi="Arial" w:eastAsiaTheme="minorHAnsi" w:cs="Arial"/>
          <w:sz w:val="22"/>
          <w:szCs w:val="22"/>
        </w:rPr>
      </w:pPr>
      <w:r>
        <w:rPr>
          <w:rFonts w:ascii="Arial" w:hAnsi="Arial" w:eastAsiaTheme="minorHAnsi"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64466399">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Autobusų sustojimo aikštelės</w:t>
      </w:r>
    </w:p>
    <w:p w14:paraId="6446639A">
      <w:pPr>
        <w:spacing/>
        <w:ind w:left="567"/>
        <w:rPr>
          <w:rFonts w:ascii="Arial" w:hAnsi="Arial" w:cs="Arial"/>
          <w:i/>
          <w:iCs/>
          <w:strike/>
          <w:sz w:val="22"/>
          <w:szCs w:val="22"/>
        </w:rPr>
      </w:pPr>
      <w:r>
        <w:rPr>
          <w:rFonts w:ascii="Arial" w:hAnsi="Arial" w:cs="Arial"/>
          <w:sz w:val="22"/>
          <w:szCs w:val="22"/>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6446639B">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paviljonas yra (atskirai stovintis lengvų konstrukcijų pastatas su trimis sienomis, su stogeliu). Tai tipinis gaminys, kuris montuojamas pastatymo vietoje iš konstrukcijų, tvirtinamų prie pamato arba įbetonuojamų atramų;</w:t>
      </w:r>
    </w:p>
    <w:p w14:paraId="6446639C">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6446639D">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6446639E">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paviljono konstrukcinis dizainas turi būti suprojektuotas taip, kad užtikrintų keleivių apsaugą nuo nepalankių oro sąlygų (kritulių, vėjo, saulėkaitos ir kt.);</w:t>
      </w:r>
    </w:p>
    <w:p w14:paraId="6446639F">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644663A0">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644663A1">
      <w:pPr>
        <w:numPr>
          <w:ilvl w:val="2"/>
          <w:numId w:val="2"/>
        </w:numPr>
        <w:spacing w:line="259" w:lineRule="auto"/>
        <w:ind w:left="1276" w:hanging="425"/>
        <w:contextualSpacing/>
        <w:jc w:val="left"/>
        <w:rPr>
          <w:rFonts w:ascii="Arial" w:hAnsi="Arial" w:cs="Arial"/>
          <w:sz w:val="22"/>
          <w:szCs w:val="22"/>
        </w:rPr>
      </w:pPr>
      <w:r>
        <w:rPr>
          <w:rFonts w:ascii="Arial" w:hAnsi="Arial" w:cs="Arial"/>
          <w:sz w:val="22"/>
          <w:szCs w:val="22"/>
        </w:rPr>
        <w:t xml:space="preserve">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w:t>
      </w:r>
      <w:r>
        <w:rPr>
          <w:rFonts w:ascii="Arial" w:hAnsi="Arial" w:cs="Arial"/>
          <w:sz w:val="22"/>
          <w:szCs w:val="22"/>
        </w:rPr>
        <w:t xml:space="preserve">dalyse turi būti sumontuoti cinkuoti (pagal LST EN ISO 1461 arba lygiavertį) ir / arba milteliniu būdu dažyti (pagal LST EN ISO 2808 arba lygiavertį) metaliniai vandens nuvedimo latakai į vieną ar abu paviljono galus;</w:t>
      </w:r>
    </w:p>
    <w:p w14:paraId="644663A2">
      <w:pPr>
        <w:pStyle w:val="ListParagraph"/>
        <w:numPr>
          <w:ilvl w:val="2"/>
          <w:numId w:val="2"/>
        </w:numPr>
        <w:spacing/>
        <w:ind w:left="1276" w:hanging="425"/>
        <w:contextualSpacing w:val="false"/>
        <w:rPr>
          <w:rFonts w:ascii="Arial" w:hAnsi="Arial" w:eastAsia="Times New Roman" w:cs="Arial"/>
          <w:sz w:val="22"/>
        </w:rPr>
      </w:pPr>
      <w:r>
        <w:rPr>
          <w:rFonts w:ascii="Arial" w:hAnsi="Arial" w:cs="Arial"/>
          <w:sz w:val="22"/>
        </w:rPr>
        <w:t xml:space="preserve">visiems dažomiems paviršiams naudojama spalva – RAL 8016. </w:t>
      </w:r>
      <w:r>
        <w:rPr>
          <w:rFonts w:ascii="Arial" w:hAnsi="Arial" w:eastAsia="Times New Roman" w:cs="Arial"/>
          <w:sz w:val="22"/>
        </w:rPr>
        <w:t xml:space="preserve">Jei rengiama Projekto architektūrinė dalis, spalva parenkama suderinamai su kitais kelio elementais;</w:t>
      </w:r>
    </w:p>
    <w:p w14:paraId="644663A3">
      <w:pPr>
        <w:numPr>
          <w:ilvl w:val="2"/>
          <w:numId w:val="2"/>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pagrindiniai reikalavimai šiukšlių dėžei:</w:t>
      </w:r>
    </w:p>
    <w:p w14:paraId="644663A4">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medžiagos – betonas su cinkuotos skardos išimamu įdėklu ir pelenine; </w:t>
      </w:r>
    </w:p>
    <w:p w14:paraId="644663A5">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tūris ne mažesnis kaip 40 l ir ne didesnis, kaip 70 l;</w:t>
      </w:r>
    </w:p>
    <w:p w14:paraId="644663A6">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svoris – ne mažiau kaip 100 kg;</w:t>
      </w:r>
    </w:p>
    <w:p w14:paraId="644663A7">
      <w:pPr>
        <w:numPr>
          <w:ilvl w:val="3"/>
          <w:numId w:val="2"/>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 xml:space="preserve">su stogeliu, dangčiu ar kita apsauga, kad vėjas ar paukščiai neišnešiotų šiukšlių.</w:t>
      </w:r>
    </w:p>
    <w:p w14:paraId="644663A8">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Kelkraščių danga</w:t>
      </w:r>
    </w:p>
    <w:p w14:paraId="644663A9">
      <w:pPr>
        <w:spacing/>
        <w:ind w:left="567"/>
        <w:contextualSpacing/>
        <w:rPr>
          <w:rFonts w:ascii="Arial" w:hAnsi="Arial" w:cs="Arial"/>
          <w:sz w:val="22"/>
          <w:szCs w:val="22"/>
        </w:rPr>
      </w:pPr>
      <w:r>
        <w:rPr>
          <w:rFonts w:ascii="Arial" w:hAnsi="Arial" w:cs="Arial"/>
          <w:sz w:val="22"/>
          <w:szCs w:val="22"/>
        </w:rPr>
        <w:t xml:space="preserve">Projektuoti skaldažolę</w:t>
      </w:r>
      <w:r>
        <w:rPr>
          <w:rFonts w:ascii="Arial" w:hAnsi="Arial" w:cs="Arial"/>
          <w:sz w:val="22"/>
          <w:szCs w:val="22"/>
        </w:rPr>
        <w:t xml:space="preserve">, kai dirvožemio kiekis joje 15 % ir naudojama mineralinė medžiaga – skalda. Argumentuotai parinkti žolinių augalų sėklų mišinį (ypač jeigu kelias patenka į saugomas teritorijas).</w:t>
      </w:r>
    </w:p>
    <w:p w14:paraId="644663AA">
      <w:pPr>
        <w:numPr>
          <w:ilvl w:val="1"/>
          <w:numId w:val="2"/>
        </w:numPr>
        <w:tabs>
          <w:tab w:val="left" w:pos="720"/>
        </w:tabs>
        <w:suppressAutoHyphens/>
        <w:spacing w:line="259" w:lineRule="auto"/>
        <w:ind w:left="567" w:firstLine="0"/>
        <w:jc w:val="left"/>
        <w:rPr>
          <w:rFonts w:ascii="Arial" w:hAnsi="Arial" w:cs="Arial"/>
          <w:i/>
          <w:iCs/>
          <w:sz w:val="22"/>
          <w:szCs w:val="22"/>
        </w:rPr>
      </w:pPr>
      <w:bookmarkStart w:id="24" w:name="_Hlk96331268"/>
      <w:r>
        <w:rPr>
          <w:rFonts w:ascii="Arial" w:hAnsi="Arial" w:cs="Arial"/>
          <w:b/>
          <w:bCs/>
          <w:sz w:val="22"/>
          <w:szCs w:val="22"/>
          <w:lang w:eastAsia="lt-LT"/>
        </w:rPr>
        <w:t xml:space="preserve">Grioviai</w:t>
      </w:r>
    </w:p>
    <w:p w14:paraId="644663AB">
      <w:pPr>
        <w:spacing/>
        <w:ind w:left="567"/>
        <w:contextualSpacing/>
        <w:rPr>
          <w:rFonts w:ascii="Arial" w:hAnsi="Arial" w:cs="Arial"/>
          <w:sz w:val="22"/>
          <w:szCs w:val="22"/>
        </w:rPr>
      </w:pPr>
      <w:r>
        <w:rPr>
          <w:rFonts w:ascii="Arial" w:hAnsi="Arial" w:cs="Arial"/>
          <w:sz w:val="22"/>
          <w:szCs w:val="22"/>
        </w:rPr>
        <w:t xml:space="preserve">Kelio plano brėžiniuose turi būti pažymėtos vandens tekėjimo kryptys grioviuose.</w:t>
      </w:r>
    </w:p>
    <w:p w14:paraId="644663AC">
      <w:pPr>
        <w:spacing/>
        <w:ind w:left="567"/>
        <w:rPr>
          <w:rFonts w:ascii="Arial" w:hAnsi="Arial" w:cs="Arial"/>
          <w:sz w:val="22"/>
          <w:szCs w:val="22"/>
          <w:lang w:eastAsia="lt-LT"/>
        </w:rPr>
      </w:pPr>
      <w:r>
        <w:rPr>
          <w:rFonts w:ascii="Arial" w:hAnsi="Arial" w:cs="Arial"/>
          <w:sz w:val="22"/>
          <w:szCs w:val="22"/>
          <w:lang w:eastAsia="lt-LT"/>
        </w:rPr>
        <w:t xml:space="preserve">Griovių tvirtinimas:</w:t>
      </w:r>
    </w:p>
    <w:p w14:paraId="644663AD">
      <w:pPr>
        <w:numPr>
          <w:ilvl w:val="2"/>
          <w:numId w:val="2"/>
        </w:numPr>
        <w:spacing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iki 3 % , turi būti naudojamos medžiagos, nurodytos TRA UŽPILDAI 19 4 lentelėje, pasirinktinai fr. 16/22, 16/32. 22/32. Naudojamas užpildas turi atitikti LST EN 13242 reikalavimus;</w:t>
      </w:r>
    </w:p>
    <w:p w14:paraId="644663AE">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3 – 6 % – skalda (turi būti naudojamos medžiagos, nurodytos TRA UŽPILDAI 19 4 lentelėje pasirinktinai, bet ne mažesnės frakcijos kaip 24/45. Naudojamas užpildas turi atitikti LST EN 13242 reikalavimus);</w:t>
      </w:r>
    </w:p>
    <w:p w14:paraId="644663AF">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6 – 10 % – latakais, betono gaminiais;</w:t>
      </w:r>
    </w:p>
    <w:p w14:paraId="644663B0">
      <w:pPr>
        <w:numPr>
          <w:ilvl w:val="2"/>
          <w:numId w:val="2"/>
        </w:numPr>
        <w:spacing w:after="160" w:line="259" w:lineRule="auto"/>
        <w:ind w:left="1276" w:hanging="425"/>
        <w:contextualSpacing/>
        <w:jc w:val="left"/>
        <w:rPr>
          <w:rFonts w:ascii="Arial" w:hAnsi="Arial" w:cs="Arial"/>
          <w:sz w:val="22"/>
          <w:szCs w:val="22"/>
          <w:lang w:eastAsia="lt-LT"/>
        </w:rPr>
      </w:pPr>
      <w:r>
        <w:rPr>
          <w:rFonts w:ascii="Arial" w:hAnsi="Arial" w:cs="Arial"/>
          <w:sz w:val="22"/>
          <w:szCs w:val="22"/>
          <w:lang w:eastAsia="lt-LT"/>
        </w:rPr>
        <w:t xml:space="preserve">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644663B1">
      <w:pPr>
        <w:numPr>
          <w:ilvl w:val="1"/>
          <w:numId w:val="2"/>
        </w:numPr>
        <w:tabs>
          <w:tab w:val="left" w:pos="720"/>
        </w:tabs>
        <w:suppressAutoHyphens/>
        <w:spacing w:line="259" w:lineRule="auto"/>
        <w:ind w:left="567" w:firstLine="0"/>
        <w:jc w:val="left"/>
        <w:rPr>
          <w:rFonts w:ascii="Arial" w:hAnsi="Arial" w:cs="Arial"/>
          <w:i/>
          <w:iCs/>
          <w:sz w:val="22"/>
          <w:szCs w:val="22"/>
        </w:rPr>
      </w:pPr>
      <w:r>
        <w:rPr>
          <w:rFonts w:ascii="Arial" w:hAnsi="Arial" w:cs="Arial"/>
          <w:b/>
          <w:sz w:val="22"/>
          <w:szCs w:val="22"/>
        </w:rPr>
        <w:t xml:space="preserve">Geosintetinės medžiagos</w:t>
      </w:r>
    </w:p>
    <w:p w14:paraId="644663B2">
      <w:pPr>
        <w:keepNext/>
        <w:spacing/>
        <w:ind w:left="567"/>
        <w:contextualSpacing/>
        <w:rPr>
          <w:rFonts w:ascii="Arial" w:hAnsi="Arial" w:cs="Arial"/>
          <w:sz w:val="22"/>
          <w:szCs w:val="22"/>
          <w:lang w:eastAsia="lt-LT"/>
        </w:rPr>
      </w:pPr>
      <w:r>
        <w:rPr>
          <w:rFonts w:ascii="Arial" w:hAnsi="Arial" w:cs="Arial"/>
          <w:sz w:val="22"/>
          <w:szCs w:val="22"/>
          <w:lang w:eastAsia="lt-LT"/>
        </w:rPr>
        <w:t xml:space="preserve">Vertinant geosintetinių medžiagų panaudojimą vadovautis MN GEOSINT ŽD13 „Geosintetikos naudojimo žemės darbams keliuose metodiniais nurodymais“, TRA GEOSINT ŽD 13 </w:t>
      </w:r>
      <w:bookmarkStart w:id="25" w:name="_Hlk127985075"/>
      <w:r>
        <w:rPr>
          <w:rFonts w:ascii="Arial" w:hAnsi="Arial" w:cs="Arial"/>
          <w:sz w:val="22"/>
          <w:szCs w:val="22"/>
          <w:lang w:eastAsia="lt-LT"/>
        </w:rPr>
        <w:t xml:space="preserve">Geosintetikos, naudojamos žemės darbams keliuose, techninių reikalavimų aprašu</w:t>
      </w:r>
      <w:bookmarkEnd w:id="25"/>
      <w:r>
        <w:rPr>
          <w:rFonts w:ascii="Arial" w:hAnsi="Arial" w:cs="Arial"/>
          <w:sz w:val="22"/>
          <w:szCs w:val="22"/>
          <w:lang w:eastAsia="lt-LT"/>
        </w:rPr>
        <w:t xml:space="preserve">, ĮT ŽS 17 „Automobilių kelių žemės darbų atlikimo ir žemės sankasos įrengimo taisyklėmis“.</w:t>
      </w:r>
    </w:p>
    <w:p w14:paraId="644663B3">
      <w:pPr>
        <w:spacing/>
        <w:ind w:left="567"/>
        <w:contextualSpacing/>
        <w:rPr>
          <w:rFonts w:ascii="Arial" w:hAnsi="Arial" w:cs="Arial"/>
          <w:sz w:val="22"/>
          <w:szCs w:val="22"/>
          <w:lang w:eastAsia="lt-LT"/>
        </w:rPr>
      </w:pPr>
      <w:r>
        <w:rPr>
          <w:rFonts w:ascii="Arial" w:hAnsi="Arial" w:cs="Arial"/>
          <w:sz w:val="22"/>
          <w:szCs w:val="22"/>
          <w:lang w:eastAsia="lt-LT"/>
        </w:rPr>
        <w:t xml:space="preserve">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44663B4">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w:t>
      </w:r>
      <w:r>
        <w:rPr>
          <w:rFonts w:ascii="Arial" w:hAnsi="Arial" w:cs="Arial"/>
          <w:sz w:val="22"/>
          <w:szCs w:val="22"/>
          <w:lang w:eastAsia="lt-LT"/>
        </w:rPr>
        <w:t xml:space="preserve">domas siūlomas sprendinys.</w:t>
      </w:r>
    </w:p>
    <w:p w14:paraId="644663B5">
      <w:pPr>
        <w:spacing/>
        <w:ind w:left="567"/>
        <w:contextualSpacing/>
        <w:rPr>
          <w:rFonts w:ascii="Arial" w:hAnsi="Arial" w:cs="Arial"/>
          <w:sz w:val="22"/>
          <w:szCs w:val="22"/>
          <w:lang w:eastAsia="lt-LT"/>
        </w:rPr>
      </w:pPr>
      <w:r>
        <w:rPr>
          <w:rFonts w:ascii="Arial" w:hAnsi="Arial" w:cs="Arial"/>
          <w:sz w:val="22"/>
          <w:szCs w:val="22"/>
          <w:lang w:eastAsia="lt-LT"/>
        </w:rPr>
        <w:t xml:space="preserve">Geosintetinių medžiagų sprendiniai turi būti parodyti kelio išilginiame ir skersiniuose profiliuose.</w:t>
      </w:r>
    </w:p>
    <w:p w14:paraId="644663B6">
      <w:pPr>
        <w:spacing/>
        <w:ind w:left="567"/>
        <w:contextualSpacing/>
        <w:rPr>
          <w:rFonts w:ascii="Arial" w:hAnsi="Arial" w:cs="Arial"/>
          <w:sz w:val="22"/>
          <w:szCs w:val="22"/>
          <w:lang w:eastAsia="lt-LT"/>
        </w:rPr>
      </w:pPr>
      <w:r>
        <w:rPr>
          <w:rFonts w:ascii="Arial" w:hAnsi="Arial" w:cs="Arial"/>
          <w:sz w:val="22"/>
          <w:szCs w:val="22"/>
          <w:lang w:eastAsia="lt-LT"/>
        </w:rPr>
        <w:t xml:space="preserve">Bendruoju atveju, nurodant gaminių savybes vadovautis MN GEOSINT ŽD 13 IX skyriaus I skirsnio 1 lentele. </w:t>
      </w:r>
    </w:p>
    <w:p w14:paraId="644663B7">
      <w:pPr>
        <w:spacing/>
        <w:ind w:left="567"/>
        <w:contextualSpacing/>
        <w:jc w:val="left"/>
        <w:rPr>
          <w:rFonts w:ascii="Arial" w:hAnsi="Arial" w:cs="Arial"/>
          <w:sz w:val="22"/>
          <w:szCs w:val="22"/>
          <w:lang w:eastAsia="lt-LT"/>
        </w:rPr>
      </w:pPr>
      <w:r>
        <w:rPr>
          <w:rFonts w:ascii="Arial" w:hAnsi="Arial" w:cs="Arial"/>
          <w:sz w:val="22"/>
          <w:szCs w:val="22"/>
          <w:lang w:eastAsia="lt-LT"/>
        </w:rPr>
        <w:t xml:space="preserve">Projekto aiškinamajame rašte turi būti nurodyta pastaba dėl galimybės rangovui pasirinkti ne prastesnių savybių nei nuorodos projekte geosintetinius gaminius.</w:t>
      </w:r>
    </w:p>
    <w:p w14:paraId="644663B8">
      <w:pPr>
        <w:numPr>
          <w:ilvl w:val="1"/>
          <w:numId w:val="2"/>
        </w:numPr>
        <w:tabs>
          <w:tab w:val="left" w:pos="720"/>
        </w:tabs>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Kelio ženklai ir kelio ženklinimas</w:t>
      </w:r>
    </w:p>
    <w:p w14:paraId="644663B9">
      <w:pPr>
        <w:spacing/>
        <w:ind w:left="567"/>
        <w:contextualSpacing/>
        <w:rPr>
          <w:rFonts w:ascii="Arial" w:hAnsi="Arial" w:cs="Arial"/>
          <w:sz w:val="22"/>
          <w:szCs w:val="22"/>
          <w:lang w:eastAsia="lt-LT"/>
        </w:rPr>
      </w:pPr>
      <w:r>
        <w:rPr>
          <w:rFonts w:ascii="Arial" w:hAnsi="Arial" w:cs="Arial"/>
          <w:sz w:val="22"/>
          <w:szCs w:val="22"/>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644663BA">
      <w:pPr>
        <w:spacing/>
        <w:ind w:left="567"/>
        <w:contextualSpacing/>
        <w:rPr>
          <w:rFonts w:ascii="Arial" w:hAnsi="Arial" w:cs="Arial"/>
          <w:sz w:val="22"/>
          <w:szCs w:val="22"/>
          <w:lang w:eastAsia="lt-LT"/>
        </w:rPr>
      </w:pPr>
      <w:r>
        <w:rPr>
          <w:rFonts w:ascii="Arial" w:hAnsi="Arial" w:cs="Arial"/>
          <w:sz w:val="22"/>
          <w:szCs w:val="22"/>
          <w:lang w:eastAsia="lt-LT"/>
        </w:rPr>
        <w:t xml:space="preserve">Kelio horizontalųjį ženklinimą projektuoti, vadovaujantis Kelių horizontaliojo ženklinimo taisyklėmis, numatant polimerinių ar kitų ilgaamžių medžiagų panaudojimą.</w:t>
      </w:r>
    </w:p>
    <w:p w14:paraId="644663BB">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Betoniniai aplinkotvarkos gaminiai</w:t>
      </w:r>
    </w:p>
    <w:p w14:paraId="644663BC">
      <w:pPr>
        <w:tabs>
          <w:tab w:val="left" w:pos="720"/>
        </w:tabs>
        <w:suppressAutoHyphens/>
        <w:spacing/>
        <w:ind w:left="567"/>
        <w:rPr>
          <w:rFonts w:ascii="Arial" w:hAnsi="Arial" w:cs="Arial"/>
          <w:sz w:val="22"/>
          <w:szCs w:val="22"/>
          <w:lang w:eastAsia="lt-LT"/>
        </w:rPr>
      </w:pPr>
      <w:bookmarkStart w:id="26" w:name="_Hlk167270070"/>
      <w:r>
        <w:rPr>
          <w:rFonts w:ascii="Arial" w:hAnsi="Arial" w:cs="Arial"/>
          <w:sz w:val="22"/>
          <w:szCs w:val="22"/>
          <w:lang w:eastAsia="lt-LT"/>
        </w:rPr>
        <w:t xml:space="preserve">Projektinėje dokumentacijoje gaminiams turi būti nurodomi tik standartai, nenurodant papildomų savybių, kurios nėra apibrėžtos standartuose ar</w:t>
      </w:r>
      <w:r>
        <w:rPr>
          <w:rFonts w:ascii="Arial" w:hAnsi="Arial" w:cs="Arial"/>
          <w:b/>
          <w:bCs/>
          <w:sz w:val="22"/>
          <w:szCs w:val="22"/>
          <w:lang w:eastAsia="lt-LT"/>
        </w:rPr>
        <w:t xml:space="preserve"> </w:t>
      </w:r>
      <w:r>
        <w:rPr>
          <w:rFonts w:ascii="Arial" w:hAnsi="Arial" w:cs="Arial"/>
          <w:sz w:val="22"/>
          <w:szCs w:val="22"/>
          <w:lang w:eastAsia="lt-LT"/>
        </w:rPr>
        <w:t xml:space="preserve">TRA Trinkelės 14 „Automobilių kelių trinkelių, plokščių ir kitų medžiagų techninių reikalavimų apraše“:</w:t>
      </w:r>
      <w:r>
        <w:rPr>
          <w:rFonts w:ascii="Arial" w:hAnsi="Arial" w:cs="Arial"/>
          <w:b/>
          <w:bCs/>
          <w:sz w:val="22"/>
          <w:szCs w:val="22"/>
          <w:lang w:eastAsia="lt-LT"/>
        </w:rPr>
        <w:t xml:space="preserve"> </w:t>
      </w:r>
    </w:p>
    <w:bookmarkEnd w:id="26"/>
    <w:p w14:paraId="644663BD">
      <w:pPr>
        <w:numPr>
          <w:ilvl w:val="0"/>
          <w:numId w:val="2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trinkelėms – LST EN 1338;</w:t>
      </w:r>
    </w:p>
    <w:p w14:paraId="644663BE">
      <w:pPr>
        <w:numPr>
          <w:ilvl w:val="0"/>
          <w:numId w:val="2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betoninėms grindinio plokštėms – LST EN 1339;</w:t>
      </w:r>
    </w:p>
    <w:p w14:paraId="644663BF">
      <w:pPr>
        <w:numPr>
          <w:ilvl w:val="0"/>
          <w:numId w:val="2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betoniniams bordiūrams – LST EN 1340;</w:t>
      </w:r>
    </w:p>
    <w:p w14:paraId="644663C0">
      <w:pPr>
        <w:numPr>
          <w:ilvl w:val="0"/>
          <w:numId w:val="2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gamtinio akmens plokštėms, skirtoms grindiniams – LST EN 1341;</w:t>
      </w:r>
    </w:p>
    <w:p w14:paraId="644663C1">
      <w:pPr>
        <w:numPr>
          <w:ilvl w:val="0"/>
          <w:numId w:val="27"/>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 xml:space="preserve">tašytoms gamtinio akmens trinkelėms, skirtoms grindiniui  - LST EN 1342;</w:t>
      </w:r>
    </w:p>
    <w:p w14:paraId="644663C2">
      <w:pPr>
        <w:numPr>
          <w:ilvl w:val="0"/>
          <w:numId w:val="27"/>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 xml:space="preserve">gamtinio akmens bordiūrams, skirtoms grindiniui  - LST EN 1343.</w:t>
      </w:r>
    </w:p>
    <w:p w14:paraId="644663C3">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t xml:space="preserve">Projekto konstrukcinė dalis</w:t>
      </w:r>
    </w:p>
    <w:p w14:paraId="644663C4">
      <w:pPr>
        <w:suppressAutoHyphens/>
        <w:spacing w:line="259" w:lineRule="auto"/>
        <w:ind w:left="567"/>
        <w:rPr>
          <w:rFonts w:ascii="Arial" w:hAnsi="Arial" w:cs="Arial"/>
          <w:sz w:val="22"/>
          <w:szCs w:val="22"/>
        </w:rPr>
      </w:pPr>
      <w:r>
        <w:rPr>
          <w:rFonts w:ascii="Arial" w:hAnsi="Arial" w:cs="Arial"/>
          <w:sz w:val="22"/>
          <w:szCs w:val="22"/>
        </w:rPr>
        <w:t xml:space="preserve">Pralaidų</w:t>
      </w:r>
      <w:r>
        <w:rPr>
          <w:rFonts w:ascii="Arial" w:hAnsi="Arial" w:cs="Arial"/>
          <w:sz w:val="22"/>
          <w:szCs w:val="22"/>
        </w:rPr>
        <w:t xml:space="preserve"> su netipiniais konstrukciniais elementais, atraminių sienelių, gabionų, triukšmo užtvarų sprendiniai turi būti pateikti projekto konstrukcijų dalyje.  </w:t>
      </w:r>
    </w:p>
    <w:p w14:paraId="644663C5">
      <w:pPr>
        <w:numPr>
          <w:ilvl w:val="1"/>
          <w:numId w:val="2"/>
        </w:numPr>
        <w:suppressAutoHyphens/>
        <w:spacing w:line="259" w:lineRule="auto"/>
        <w:ind w:left="567" w:firstLine="0"/>
        <w:rPr>
          <w:rFonts w:ascii="Arial" w:hAnsi="Arial" w:cs="Arial"/>
          <w:b/>
          <w:sz w:val="22"/>
          <w:szCs w:val="22"/>
        </w:rPr>
      </w:pPr>
      <w:r>
        <w:rPr>
          <w:rFonts w:ascii="Arial" w:hAnsi="Arial" w:cs="Arial"/>
          <w:b/>
          <w:sz w:val="22"/>
          <w:szCs w:val="22"/>
        </w:rPr>
        <w:t xml:space="preserve">Inžineriniai tinklai kelio juostoje</w:t>
      </w:r>
    </w:p>
    <w:p w14:paraId="644663C6">
      <w:pPr>
        <w:spacing/>
        <w:ind w:left="567"/>
        <w:rPr>
          <w:rFonts w:ascii="Arial" w:hAnsi="Arial" w:cs="Arial"/>
          <w:sz w:val="22"/>
          <w:szCs w:val="22"/>
        </w:rPr>
      </w:pPr>
      <w:r>
        <w:rPr>
          <w:rFonts w:ascii="Arial" w:hAnsi="Arial" w:cs="Arial"/>
          <w:sz w:val="22"/>
          <w:szCs w:val="22"/>
        </w:rPr>
        <w:t xml:space="preserve">Jeigu kelią kerta ar kelio juostoje yra elektros linijos, dujų tinklai ar kiti inžineriniai tinklai (ryšių, telekomunikacijų, vandentiekio, nuotekų ir kt.), Projekto sprendiniai turi būti parengti taip, kad būtų išvengta šių tinklų iškėlimo ar pertvarkymo / apsaugojimo (Pastaba: p</w:t>
      </w:r>
      <w:r>
        <w:rPr>
          <w:rFonts w:ascii="Arial" w:hAnsi="Arial" w:eastAsiaTheme="minorHAnsi" w:cs="Arial"/>
          <w:sz w:val="22"/>
          <w:szCs w:val="22"/>
          <w:shd w:val="clear" w:color="auto" w:fill="FFFFFF"/>
        </w:rPr>
        <w:t xml:space="preserve">astarasis nurodymas vengti inžinerinių tinklų iškėlimo, neatleidžia paslaugos Teikėjo nuo atsakomybės, rengiant projektą priimti racionalius ir ekonomiškai pagrįstus sprendinius dėl inžinerinių tinklų iškėlimo).</w:t>
      </w:r>
    </w:p>
    <w:p w14:paraId="644663C7">
      <w:pPr>
        <w:spacing/>
        <w:ind w:left="567"/>
        <w:rPr>
          <w:rFonts w:ascii="Arial" w:hAnsi="Arial" w:cs="Arial"/>
          <w:b/>
          <w:bCs/>
          <w:i/>
          <w:iCs/>
          <w:sz w:val="22"/>
          <w:szCs w:val="22"/>
          <w:lang w:eastAsia="lt-LT"/>
        </w:rPr>
      </w:pPr>
      <w:r>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Pr>
          <w:rFonts w:ascii="Arial" w:hAnsi="Arial" w:eastAsiaTheme="minorHAnsi" w:cs="Arial"/>
          <w:sz w:val="22"/>
          <w:szCs w:val="22"/>
        </w:rPr>
        <w:t xml:space="preserve">Teikėjo</w:t>
      </w:r>
      <w:r>
        <w:rPr>
          <w:rFonts w:ascii="Arial" w:hAnsi="Arial" w:cs="Arial"/>
          <w:sz w:val="22"/>
          <w:szCs w:val="22"/>
        </w:rPr>
        <w:t xml:space="preserve"> parinktų projektinių sprendinių.</w:t>
      </w:r>
      <w:r>
        <w:rPr>
          <w:rFonts w:ascii="Arial" w:hAnsi="Arial" w:cs="Arial"/>
          <w:sz w:val="22"/>
          <w:szCs w:val="22"/>
          <w:lang w:eastAsia="lt-LT"/>
        </w:rPr>
        <w:t xml:space="preserve"> Rengiant sprendinius vadovautis Užsakovo svetainėje pateikiama aktualia informacija apie inžinerinių tinklų klojimo techninių sąlygų nustatymą (</w:t>
      </w:r>
      <w:r>
        <w:rPr/>
        <w:fldChar w:fldCharType="begin"/>
      </w:r>
      <w:r>
        <w:rPr/>
        <w:instrText xml:space="preserve">HYPERLINK "https://vialietuva.lt/aktuali-informacija" </w:instrText>
      </w:r>
      <w:r>
        <w:rPr/>
        <w:fldChar w:fldCharType="separate"/>
      </w:r>
      <w:r>
        <w:rPr>
          <w:rStyle w:val="Hyperlink"/>
          <w:rFonts w:ascii="Arial" w:hAnsi="Arial" w:cs="Arial"/>
          <w:color w:val="auto"/>
          <w:sz w:val="22"/>
          <w:szCs w:val="22"/>
          <w:lang w:eastAsia="lt-LT"/>
        </w:rPr>
        <w:t xml:space="preserve">https://vialietuva.lt/aktuali-informacija</w:t>
      </w:r>
      <w:r>
        <w:rPr/>
        <w:fldChar w:fldCharType="end"/>
      </w:r>
      <w:r>
        <w:rPr>
          <w:rFonts w:ascii="Arial" w:hAnsi="Arial" w:cs="Arial"/>
          <w:sz w:val="22"/>
          <w:szCs w:val="22"/>
          <w:lang w:eastAsia="lt-LT"/>
        </w:rPr>
        <w:t xml:space="preserve">). Projekte turi būti numatyta, kad rangovas, rengdamas technologinį projektą, gali siūlyti alternatyvų inžinerinių tinklų pertvarkymo būdą nei numatyta Projekte, prieš tai suderinęs su Užsakovu. </w:t>
      </w:r>
    </w:p>
    <w:p w14:paraId="644663C8">
      <w:pPr>
        <w:spacing/>
        <w:ind w:left="567"/>
        <w:rPr>
          <w:rFonts w:ascii="Arial" w:hAnsi="Arial" w:cs="Arial"/>
          <w:sz w:val="22"/>
          <w:szCs w:val="22"/>
        </w:rPr>
      </w:pPr>
      <w:r>
        <w:rPr>
          <w:rFonts w:ascii="Arial" w:hAnsi="Arial" w:cs="Arial"/>
          <w:sz w:val="22"/>
          <w:szCs w:val="22"/>
        </w:rPr>
        <w:t xml:space="preserve">Projekto rengimo metu nustačius, kad yra būtinas inžinerinių tinklų iškėlimas / pertvarkymas / apsaugojimas, Teikėjas turi raštu informuoti Užsakovą apie tokių tinklų iškėlimo / pertvarkymo / apsaugojimo poreikį.</w:t>
      </w:r>
    </w:p>
    <w:p w14:paraId="644663C9">
      <w:pPr>
        <w:spacing/>
        <w:ind w:left="567"/>
        <w:rPr>
          <w:rFonts w:ascii="Arial" w:hAnsi="Arial" w:cs="Arial"/>
          <w:sz w:val="22"/>
          <w:szCs w:val="22"/>
        </w:rPr>
      </w:pPr>
      <w:r>
        <w:rPr>
          <w:rFonts w:ascii="Arial" w:hAnsi="Arial" w:cs="Arial"/>
          <w:sz w:val="22"/>
          <w:szCs w:val="22"/>
        </w:rPr>
        <w:t xml:space="preserve">Jei numatoma vykdyti inžinerinių tinklų iškėlimą /pertvarkymą / apsaugojimą, Teikėjas turi organizuoti iškėlimo sutarties („</w:t>
      </w:r>
      <w:r>
        <w:rPr>
          <w:rFonts w:ascii="Arial" w:hAnsi="Arial" w:cs="Arial"/>
          <w:i/>
          <w:sz w:val="22"/>
          <w:szCs w:val="22"/>
        </w:rPr>
        <w:t xml:space="preserve">Inžinerinių tinklų klojimo, priežiūros, rekonstrukcijos ir iškėlimo sutartis“</w:t>
      </w:r>
      <w:r>
        <w:rPr>
          <w:rFonts w:ascii="Arial" w:hAnsi="Arial" w:cs="Arial"/>
          <w:sz w:val="22"/>
          <w:szCs w:val="22"/>
        </w:rPr>
        <w:t xml:space="preserve">) ir jos priedo („Objektų, kuriuose bus klojamas  / prižiūrimas / rekonstruojamas / iškeliamas tinklas, sąrašas“) pasirašymą.</w:t>
      </w:r>
    </w:p>
    <w:p w14:paraId="644663CA">
      <w:pPr>
        <w:spacing/>
        <w:ind w:left="567"/>
        <w:rPr>
          <w:rFonts w:ascii="Arial" w:hAnsi="Arial" w:cs="Arial"/>
          <w:b/>
          <w:bCs/>
          <w:sz w:val="22"/>
          <w:szCs w:val="22"/>
        </w:rPr>
      </w:pPr>
      <w:r>
        <w:rPr>
          <w:rFonts w:ascii="Arial" w:hAnsi="Arial" w:cs="Arial"/>
          <w:b/>
          <w:bCs/>
          <w:sz w:val="22"/>
          <w:szCs w:val="22"/>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644663CB">
      <w:pPr>
        <w:spacing/>
        <w:ind w:left="567"/>
        <w:rPr>
          <w:rFonts w:ascii="Arial" w:hAnsi="Arial" w:cs="Arial"/>
          <w:sz w:val="22"/>
          <w:szCs w:val="22"/>
        </w:rPr>
      </w:pPr>
      <w:r>
        <w:rPr>
          <w:rFonts w:ascii="Arial" w:hAnsi="Arial" w:cs="Arial"/>
          <w:sz w:val="22"/>
          <w:szCs w:val="22"/>
        </w:rPr>
        <w:t xml:space="preserve">Atkreiptinas dėmesys, kad inžinerinių tinklų iškėlimas turi būti taikomas tik išskirtiniais atvejais, išanalizavus esamų inžinerinių tinklų situaciją (jų gylius / aukščius), kai tai būtina projekto sprendiniams įgyvendinti.</w:t>
      </w:r>
    </w:p>
    <w:p w14:paraId="644663CC">
      <w:pPr>
        <w:numPr>
          <w:ilvl w:val="1"/>
          <w:numId w:val="2"/>
        </w:numPr>
        <w:suppressAutoHyphens/>
        <w:spacing w:line="259" w:lineRule="auto"/>
        <w:ind w:left="567" w:firstLine="0"/>
        <w:jc w:val="left"/>
        <w:rPr>
          <w:rFonts w:ascii="Arial" w:hAnsi="Arial" w:cs="Arial"/>
          <w:bCs/>
          <w:i/>
          <w:iCs/>
          <w:sz w:val="22"/>
          <w:szCs w:val="22"/>
        </w:rPr>
      </w:pPr>
      <w:r>
        <w:rPr>
          <w:rFonts w:ascii="Arial" w:hAnsi="Arial" w:cs="Arial"/>
          <w:b/>
          <w:bCs/>
          <w:sz w:val="22"/>
          <w:szCs w:val="22"/>
          <w:lang w:eastAsia="lt-LT"/>
        </w:rPr>
        <w:t xml:space="preserve">Melioracija</w:t>
      </w:r>
    </w:p>
    <w:p w14:paraId="644663CD">
      <w:pPr>
        <w:spacing/>
        <w:ind w:left="567"/>
        <w:rPr>
          <w:rFonts w:ascii="Arial" w:hAnsi="Arial" w:cs="Arial"/>
          <w:sz w:val="22"/>
          <w:szCs w:val="22"/>
          <w:lang w:eastAsia="lt-LT"/>
        </w:rPr>
      </w:pPr>
      <w:r>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644663CE">
      <w:pPr>
        <w:spacing/>
        <w:ind w:left="567"/>
        <w:rPr>
          <w:rFonts w:ascii="Arial" w:hAnsi="Arial" w:cs="Arial"/>
          <w:sz w:val="22"/>
          <w:szCs w:val="22"/>
          <w:lang w:eastAsia="lt-LT"/>
        </w:rPr>
      </w:pPr>
      <w:r>
        <w:rPr>
          <w:rFonts w:ascii="Arial" w:hAnsi="Arial" w:cs="Arial"/>
          <w:sz w:val="22"/>
          <w:szCs w:val="22"/>
          <w:lang w:eastAsia="lt-LT"/>
        </w:rPr>
        <w:t xml:space="preserve">Rengiant projektus reikia vengti pasijungimo į melioracijos tinklus. Jeigu to išvengti nepavyksta, projektavimo metu būtina įsitikinti, kad melioracijos tinklai prie kurių prisijungiama, yra veikiantys ir funkcionuojantys.</w:t>
      </w:r>
    </w:p>
    <w:p w14:paraId="644663CF">
      <w:pPr>
        <w:numPr>
          <w:ilvl w:val="1"/>
          <w:numId w:val="2"/>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Apšvietimas</w:t>
      </w:r>
      <w:r>
        <w:rPr/>
        <w:t xml:space="preserve"> </w:t>
      </w:r>
    </w:p>
    <w:p w14:paraId="644663D0">
      <w:pPr>
        <w:suppressAutoHyphens/>
        <w:spacing w:line="259" w:lineRule="auto"/>
        <w:ind w:left="567"/>
        <w:jc w:val="left"/>
        <w:rPr>
          <w:rFonts w:ascii="Arial" w:hAnsi="Arial" w:cs="Arial"/>
          <w:b/>
          <w:bCs/>
          <w:sz w:val="22"/>
          <w:szCs w:val="22"/>
          <w:highlight w:val="yellow"/>
          <w:lang w:eastAsia="lt-LT"/>
        </w:rPr>
      </w:pPr>
      <w:r>
        <w:rPr/>
        <w:t xml:space="preserve">P</w:t>
      </w:r>
      <w:r>
        <w:rPr>
          <w:rFonts w:ascii="Arial" w:hAnsi="Arial" w:cs="Arial"/>
          <w:sz w:val="22"/>
          <w:szCs w:val="22"/>
          <w:lang w:eastAsia="lt-LT"/>
        </w:rPr>
        <w:t xml:space="preserve">rojektuojam</w:t>
      </w:r>
      <w:r>
        <w:rPr>
          <w:rFonts w:ascii="Arial" w:hAnsi="Arial" w:cs="Arial"/>
          <w:sz w:val="22"/>
          <w:szCs w:val="22"/>
          <w:lang w:eastAsia="lt-LT"/>
        </w:rPr>
        <w:t xml:space="preserve">as</w:t>
      </w:r>
      <w:r>
        <w:rPr>
          <w:rFonts w:ascii="Arial" w:hAnsi="Arial" w:cs="Arial"/>
          <w:sz w:val="22"/>
          <w:szCs w:val="22"/>
          <w:lang w:eastAsia="lt-LT"/>
        </w:rPr>
        <w:t xml:space="preserve"> ruoža</w:t>
      </w:r>
      <w:r>
        <w:rPr>
          <w:rFonts w:ascii="Arial" w:hAnsi="Arial" w:cs="Arial"/>
          <w:sz w:val="22"/>
          <w:szCs w:val="22"/>
          <w:lang w:eastAsia="lt-LT"/>
        </w:rPr>
        <w:t xml:space="preserve">s</w:t>
      </w:r>
      <w:r>
        <w:rPr>
          <w:rFonts w:ascii="Arial" w:hAnsi="Arial" w:cs="Arial"/>
          <w:sz w:val="22"/>
          <w:szCs w:val="22"/>
          <w:lang w:eastAsia="lt-LT"/>
        </w:rPr>
        <w:t xml:space="preserve"> </w:t>
      </w:r>
      <w:r>
        <w:rPr>
          <w:rFonts w:ascii="Arial" w:hAnsi="Arial" w:cs="Arial"/>
          <w:sz w:val="22"/>
          <w:szCs w:val="22"/>
          <w:lang w:eastAsia="lt-LT"/>
        </w:rPr>
        <w:t xml:space="preserve">turi būti apšviest</w:t>
      </w:r>
      <w:r>
        <w:rPr>
          <w:rFonts w:ascii="Arial" w:hAnsi="Arial" w:cs="Arial"/>
          <w:sz w:val="22"/>
          <w:szCs w:val="22"/>
          <w:lang w:eastAsia="lt-LT"/>
        </w:rPr>
        <w:t xml:space="preserve">as</w:t>
      </w:r>
      <w:r>
        <w:rPr>
          <w:rFonts w:ascii="Arial" w:hAnsi="Arial" w:cs="Arial"/>
          <w:sz w:val="22"/>
          <w:szCs w:val="22"/>
          <w:lang w:eastAsia="lt-LT"/>
        </w:rPr>
        <w:t xml:space="preserve">.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https://vialietuva.lt/aktuali-informacija.</w:t>
      </w:r>
    </w:p>
    <w:p w14:paraId="644663D1">
      <w:pPr>
        <w:numPr>
          <w:ilvl w:val="1"/>
          <w:numId w:val="2"/>
        </w:numPr>
        <w:suppressAutoHyphens/>
        <w:spacing w:line="259" w:lineRule="auto"/>
        <w:ind w:left="567" w:firstLine="0"/>
        <w:jc w:val="left"/>
        <w:rPr>
          <w:rFonts w:ascii="Arial" w:hAnsi="Arial" w:cs="Arial"/>
          <w:b/>
          <w:bCs/>
          <w:sz w:val="22"/>
          <w:szCs w:val="22"/>
          <w:lang w:eastAsia="lt-LT"/>
        </w:rPr>
      </w:pPr>
      <w:r>
        <w:rPr>
          <w:rFonts w:ascii="Arial" w:hAnsi="Arial" w:cs="Arial"/>
          <w:b/>
          <w:bCs/>
          <w:sz w:val="22"/>
          <w:szCs w:val="22"/>
          <w:lang w:eastAsia="lt-LT"/>
        </w:rPr>
        <w:t xml:space="preserve">Apskaitos postas</w:t>
      </w:r>
    </w:p>
    <w:p w14:paraId="644663D2">
      <w:pPr>
        <w:suppressAutoHyphens/>
        <w:spacing w:line="259" w:lineRule="auto"/>
        <w:ind w:left="567"/>
        <w:jc w:val="left"/>
        <w:rPr>
          <w:rFonts w:ascii="Arial" w:hAnsi="Arial" w:cs="Arial"/>
          <w:sz w:val="22"/>
          <w:szCs w:val="22"/>
          <w:lang w:eastAsia="lt-LT"/>
        </w:rPr>
      </w:pPr>
      <w:r>
        <w:rPr>
          <w:rFonts w:ascii="Arial" w:hAnsi="Arial" w:cs="Arial"/>
          <w:sz w:val="22"/>
          <w:szCs w:val="22"/>
          <w:lang w:eastAsia="lt-LT"/>
        </w:rPr>
        <w:t xml:space="preserve">Numatyti demontuoti esančius eismo intensyvumo įrenginius 39,432 km ir 42,677 km.   </w:t>
      </w:r>
    </w:p>
    <w:p w14:paraId="644663D3">
      <w:pPr>
        <w:numPr>
          <w:ilvl w:val="1"/>
          <w:numId w:val="2"/>
        </w:numPr>
        <w:suppressAutoHyphens/>
        <w:spacing w:line="259" w:lineRule="auto"/>
        <w:ind w:left="567" w:firstLine="0"/>
        <w:rPr>
          <w:rFonts w:ascii="Arial" w:hAnsi="Arial" w:cs="Arial"/>
          <w:sz w:val="22"/>
          <w:szCs w:val="22"/>
        </w:rPr>
      </w:pPr>
      <w:r>
        <w:rPr>
          <w:rFonts w:ascii="Arial" w:hAnsi="Arial" w:cs="Arial"/>
          <w:b/>
          <w:bCs/>
          <w:sz w:val="22"/>
          <w:szCs w:val="22"/>
        </w:rPr>
        <w:t xml:space="preserve">Apsaugos zonos </w:t>
      </w:r>
    </w:p>
    <w:p w14:paraId="644663D4">
      <w:pPr>
        <w:suppressAutoHyphens/>
        <w:spacing w:line="259" w:lineRule="auto"/>
        <w:ind w:left="567"/>
        <w:rPr>
          <w:rFonts w:ascii="Arial" w:hAnsi="Arial" w:cs="Arial"/>
          <w:sz w:val="22"/>
          <w:szCs w:val="22"/>
        </w:rPr>
      </w:pPr>
      <w:r>
        <w:rPr>
          <w:rFonts w:ascii="Arial" w:hAnsi="Arial" w:cs="Arial"/>
          <w:sz w:val="22"/>
          <w:szCs w:val="22"/>
        </w:rPr>
        <w:t xml:space="preserve">Grafinėje projekto dalyje turi būti pažymėtos susisiekimo komunikacijų ir inžinerinių tinklų apsaugos zonos.</w:t>
      </w:r>
    </w:p>
    <w:p w14:paraId="644663D5">
      <w:pPr>
        <w:numPr>
          <w:ilvl w:val="1"/>
          <w:numId w:val="2"/>
        </w:numPr>
        <w:spacing w:line="259" w:lineRule="auto"/>
        <w:ind w:left="567" w:firstLine="0"/>
        <w:jc w:val="left"/>
        <w:rPr>
          <w:rFonts w:ascii="Arial" w:hAnsi="Arial" w:eastAsiaTheme="minorHAnsi" w:cs="Arial"/>
          <w:sz w:val="22"/>
          <w:szCs w:val="22"/>
        </w:rPr>
      </w:pPr>
      <w:r>
        <w:rPr>
          <w:rFonts w:ascii="Arial" w:hAnsi="Arial" w:eastAsiaTheme="minorHAnsi" w:cs="Arial"/>
          <w:b/>
          <w:bCs/>
          <w:sz w:val="22"/>
          <w:szCs w:val="22"/>
        </w:rPr>
        <w:t xml:space="preserve">Bendrieji reikalavimai parenkant ir projektuojant veiksmingas aplinkosaugines priemones</w:t>
      </w:r>
      <w:r>
        <w:rPr>
          <w:rFonts w:ascii="Arial" w:hAnsi="Arial" w:eastAsiaTheme="minorHAnsi" w:cs="Arial"/>
          <w:sz w:val="22"/>
          <w:szCs w:val="22"/>
        </w:rPr>
        <w:t xml:space="preserve">: </w:t>
      </w:r>
    </w:p>
    <w:p w14:paraId="644663D6">
      <w:pPr>
        <w:numPr>
          <w:ilvl w:val="0"/>
          <w:numId w:val="1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644663D7">
      <w:pPr>
        <w:numPr>
          <w:ilvl w:val="0"/>
          <w:numId w:val="1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naujų želdinių įveisimo atvejais projektinėje dokumentacijoje turi būti nurodoma: ne trumpesnis, kaip du pilni vegetaciniai laikotarpiai (du metai),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w:t>
      </w:r>
      <w:r>
        <w:rPr>
          <w:rFonts w:ascii="Arial" w:hAnsi="Arial" w:cs="Arial"/>
          <w:sz w:val="22"/>
          <w:szCs w:val="22"/>
          <w:lang w:eastAsia="lt-LT"/>
        </w:rPr>
        <w:t xml:space="preserve">s gamtinėmis ir klimato sąlygomis; rekomenduojami vietos sąlygomis auginti želdinių sodinukai; jei augalų sodinukai atvežti iš kitos šalies, turi būti tinkamai aklimatizuoti (pateikiant įrodymus); turi būti pateikti augalų pasai;</w:t>
      </w:r>
    </w:p>
    <w:p w14:paraId="644663D8">
      <w:pPr>
        <w:numPr>
          <w:ilvl w:val="0"/>
          <w:numId w:val="1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projektuojant naujus želdinius, parinkti tinkamas apsaugos priemones, įskaitant nuo laukinių gyvūnų poveikio. Numatyti medžių kamienų apsaugą nuo šienavimo poveikio (rekomenduojamos impregnuotos medienos tvorelės);</w:t>
      </w:r>
    </w:p>
    <w:p w14:paraId="644663D9">
      <w:pPr>
        <w:numPr>
          <w:ilvl w:val="0"/>
          <w:numId w:val="17"/>
        </w:numPr>
        <w:tabs>
          <w:tab w:val="num" w:pos="1843"/>
        </w:tabs>
        <w:spacing w:line="259" w:lineRule="auto"/>
        <w:ind w:left="1276" w:hanging="425"/>
        <w:jc w:val="left"/>
        <w:rPr>
          <w:rFonts w:ascii="Arial" w:hAnsi="Arial" w:cs="Arial"/>
          <w:sz w:val="22"/>
          <w:szCs w:val="22"/>
          <w:lang w:eastAsia="lt-LT"/>
        </w:rPr>
      </w:pPr>
      <w:r>
        <w:rPr>
          <w:rFonts w:ascii="Arial" w:hAnsi="Arial" w:cs="Arial"/>
          <w:sz w:val="22"/>
          <w:szCs w:val="22"/>
          <w:lang w:eastAsia="lt-LT"/>
        </w:rPr>
        <w:t xml:space="preserve">skirtingų aplinkosauginių priemonių svarstymo metu Užsakovas gali pareikalauti priemonių ekonominio vertinimo (pagrindimo).</w:t>
      </w:r>
    </w:p>
    <w:p w14:paraId="644663DA">
      <w:pPr>
        <w:numPr>
          <w:ilvl w:val="1"/>
          <w:numId w:val="2"/>
        </w:numPr>
        <w:suppressAutoHyphens/>
        <w:spacing w:line="259" w:lineRule="auto"/>
        <w:ind w:left="1276" w:hanging="709"/>
        <w:jc w:val="left"/>
        <w:rPr>
          <w:rFonts w:ascii="Arial" w:hAnsi="Arial" w:cs="Arial"/>
          <w:b/>
          <w:sz w:val="22"/>
          <w:szCs w:val="22"/>
        </w:rPr>
      </w:pPr>
      <w:r>
        <w:rPr>
          <w:rFonts w:ascii="Arial" w:hAnsi="Arial" w:cs="Arial"/>
          <w:b/>
          <w:sz w:val="22"/>
          <w:szCs w:val="22"/>
        </w:rPr>
        <w:t xml:space="preserve">Medžiai ir krūmai kelio juostos ribose</w:t>
      </w:r>
    </w:p>
    <w:p w14:paraId="644663DB">
      <w:pPr>
        <w:spacing/>
        <w:ind w:left="567"/>
        <w:rPr>
          <w:rFonts w:ascii="Arial" w:hAnsi="Arial" w:eastAsia="Aptos" w:cs="Arial"/>
          <w:sz w:val="22"/>
          <w:szCs w:val="22"/>
        </w:rPr>
      </w:pPr>
      <w:r>
        <w:rPr>
          <w:rFonts w:ascii="Arial" w:hAnsi="Arial" w:eastAsia="Aptos" w:cs="Arial"/>
          <w:sz w:val="22"/>
          <w:szCs w:val="22"/>
        </w:rPr>
        <w:t xml:space="preserve">Projektinėje dokumentacijoje turi būti įrašytos nuostatos dėl medžių ir krūmų, esančių kelio juostos ribose, tvarkymo: neišvengiamo šalinimo atvejai ir išsaugomų želdinių atvejai.</w:t>
      </w:r>
    </w:p>
    <w:p w14:paraId="644663DC">
      <w:pPr>
        <w:spacing/>
        <w:ind w:left="567"/>
        <w:rPr>
          <w:rFonts w:ascii="Arial" w:hAnsi="Arial" w:eastAsia="Aptos" w:cs="Arial"/>
          <w:sz w:val="22"/>
          <w:szCs w:val="22"/>
        </w:rPr>
      </w:pPr>
      <w:r>
        <w:rPr>
          <w:rFonts w:ascii="Arial" w:hAnsi="Arial" w:eastAsia="Aptos" w:cs="Arial"/>
          <w:sz w:val="22"/>
          <w:szCs w:val="22"/>
        </w:rPr>
        <w:t xml:space="preserve">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644663DD">
      <w:pPr>
        <w:spacing/>
        <w:ind w:left="567"/>
        <w:rPr>
          <w:rFonts w:ascii="Arial" w:hAnsi="Arial" w:eastAsia="Aptos" w:cs="Arial"/>
          <w:sz w:val="22"/>
          <w:szCs w:val="22"/>
        </w:rPr>
      </w:pPr>
      <w:r>
        <w:rPr>
          <w:rFonts w:ascii="Arial" w:hAnsi="Arial" w:eastAsia="Aptos" w:cs="Arial"/>
          <w:sz w:val="22"/>
          <w:szCs w:val="22"/>
        </w:rPr>
        <w:t xml:space="preserve">Kelio juostos ribose esantys medžiai bei krūmai, patenkantys į kelio griovių ribas ir keliantys pavojų (turi būti pateiktas pagrindimas, įvertinant šaknų sistemą, kt.) statinio konstrukcijai bei eismo saugai, šalinami:</w:t>
      </w:r>
    </w:p>
    <w:p w14:paraId="644663DE">
      <w:pPr>
        <w:spacing/>
        <w:ind w:left="567"/>
        <w:rPr>
          <w:rFonts w:ascii="Arial" w:hAnsi="Arial" w:eastAsia="Aptos" w:cs="Arial"/>
          <w:sz w:val="22"/>
          <w:szCs w:val="22"/>
        </w:rPr>
      </w:pPr>
      <w:r>
        <w:rPr>
          <w:rFonts w:ascii="Arial" w:hAnsi="Arial" w:eastAsia="Aptos"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w:t>
      </w:r>
      <w:r>
        <w:rPr>
          <w:rFonts w:ascii="Arial" w:hAnsi="Arial" w:eastAsia="Aptos" w:cs="Arial"/>
          <w:i/>
          <w:iCs/>
          <w:sz w:val="22"/>
          <w:szCs w:val="22"/>
        </w:rPr>
        <w:t xml:space="preserve">obilių kelių juostoje augančių medžių ir krūmų genėjimo ir kirtimo tvarkos aprašo (toliau – Aprašas) reikalavimais.</w:t>
      </w:r>
    </w:p>
    <w:p w14:paraId="644663DF">
      <w:pPr>
        <w:spacing/>
        <w:ind w:left="567"/>
        <w:rPr>
          <w:rFonts w:ascii="Arial" w:hAnsi="Arial" w:eastAsia="Aptos" w:cs="Arial"/>
          <w:sz w:val="22"/>
          <w:szCs w:val="22"/>
        </w:rPr>
      </w:pPr>
      <w:r>
        <w:rPr>
          <w:rFonts w:ascii="Arial" w:hAnsi="Arial" w:eastAsia="Aptos" w:cs="Arial"/>
          <w:sz w:val="22"/>
          <w:szCs w:val="22"/>
        </w:rPr>
        <w:t xml:space="preserve">Vadovaujantis Lietuvos Respublikos želdynų įstatymo (toliau – Įstatymas) nuostatomis:</w:t>
      </w:r>
    </w:p>
    <w:p w14:paraId="644663E0">
      <w:pPr>
        <w:numPr>
          <w:ilvl w:val="0"/>
          <w:numId w:val="32"/>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Įstatymo 23 str. 2 punkte nurodytais privalomais atvejais turi būti atlikta saugotinų želdinių būklės ekspertizė;</w:t>
      </w:r>
    </w:p>
    <w:p w14:paraId="644663E1">
      <w:pPr>
        <w:numPr>
          <w:ilvl w:val="0"/>
          <w:numId w:val="32"/>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saugotini želdiniai šalinami ar intensyviai genimi, gavus savivaldybės vykdomosios institucijos išduotą leidimą; </w:t>
      </w:r>
      <w:r>
        <w:rPr>
          <w:rFonts w:ascii="Arial" w:hAnsi="Arial" w:eastAsia="Aptos" w:cs="Arial"/>
          <w:b/>
          <w:bCs/>
          <w:sz w:val="22"/>
          <w:szCs w:val="22"/>
        </w:rPr>
        <w:t xml:space="preserve">Teikėjas turi parengti informaciją leidimui gauti ir gauti leidimą</w:t>
      </w:r>
      <w:r>
        <w:rPr>
          <w:rFonts w:ascii="Arial" w:hAnsi="Arial" w:eastAsia="Aptos" w:cs="Arial"/>
          <w:sz w:val="22"/>
          <w:szCs w:val="22"/>
        </w:rPr>
        <w:t xml:space="preserve">; </w:t>
      </w:r>
    </w:p>
    <w:p w14:paraId="644663E2">
      <w:pPr>
        <w:numPr>
          <w:ilvl w:val="0"/>
          <w:numId w:val="32"/>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šalinant saugotinus gatvių želdinius (medžius), pagal galimybes numatyti atsodinimą;</w:t>
      </w:r>
    </w:p>
    <w:p w14:paraId="644663E3">
      <w:pPr>
        <w:numPr>
          <w:ilvl w:val="0"/>
          <w:numId w:val="32"/>
        </w:numPr>
        <w:tabs>
          <w:tab w:val="num" w:pos="1276"/>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pagal galimybes atsižvelgti į želdinių šalinimo, intensyvaus genėjimo ribojimus dėl paukščių perėjimo nuo kovo 15 dienos iki rugpjūčio 1 dienos.</w:t>
      </w:r>
    </w:p>
    <w:p w14:paraId="644663E4">
      <w:pPr>
        <w:spacing/>
        <w:ind w:left="567"/>
        <w:rPr>
          <w:rFonts w:ascii="Arial" w:hAnsi="Arial" w:eastAsia="Aptos" w:cs="Arial"/>
          <w:sz w:val="22"/>
          <w:szCs w:val="22"/>
        </w:rPr>
      </w:pPr>
      <w:r>
        <w:rPr>
          <w:rFonts w:ascii="Arial" w:hAnsi="Arial" w:eastAsia="Aptos" w:cs="Arial"/>
          <w:sz w:val="22"/>
          <w:szCs w:val="22"/>
        </w:rPr>
        <w:t xml:space="preserve">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644663E5">
      <w:pPr>
        <w:spacing/>
        <w:ind w:left="567"/>
        <w:rPr>
          <w:rFonts w:ascii="Arial" w:hAnsi="Arial" w:eastAsia="Aptos" w:cs="Arial"/>
          <w:sz w:val="22"/>
          <w:szCs w:val="22"/>
        </w:rPr>
      </w:pPr>
      <w:r>
        <w:rPr>
          <w:rFonts w:ascii="Arial" w:hAnsi="Arial" w:eastAsia="Aptos" w:cs="Arial"/>
          <w:sz w:val="22"/>
          <w:szCs w:val="22"/>
        </w:rPr>
        <w:t xml:space="preserve">Įvertinti gatvės želdinius (pagal valstybinės reikšmės keliams ir gatvėms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644663E6">
      <w:pPr>
        <w:spacing/>
        <w:ind w:left="567"/>
        <w:rPr>
          <w:rFonts w:ascii="Arial" w:hAnsi="Arial" w:eastAsia="Aptos" w:cs="Arial"/>
          <w:sz w:val="22"/>
          <w:szCs w:val="22"/>
        </w:rPr>
      </w:pPr>
      <w:r>
        <w:rPr>
          <w:rFonts w:ascii="Arial" w:hAnsi="Arial" w:eastAsia="Aptos" w:cs="Arial"/>
          <w:sz w:val="22"/>
          <w:szCs w:val="22"/>
        </w:rPr>
        <w:t xml:space="preserve">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w:t>
      </w:r>
      <w:r>
        <w:rPr>
          <w:rFonts w:ascii="Arial" w:hAnsi="Arial" w:eastAsia="Aptos" w:cs="Arial"/>
          <w:sz w:val="22"/>
          <w:szCs w:val="22"/>
        </w:rPr>
        <w:t xml:space="preserve">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644663E7">
      <w:pPr>
        <w:spacing/>
        <w:ind w:left="567"/>
        <w:rPr>
          <w:rFonts w:ascii="Arial" w:hAnsi="Arial" w:eastAsia="Aptos" w:cs="Arial"/>
          <w:sz w:val="22"/>
          <w:szCs w:val="22"/>
        </w:rPr>
      </w:pPr>
      <w:r>
        <w:rPr>
          <w:rFonts w:ascii="Arial" w:hAnsi="Arial" w:eastAsia="Aptos" w:cs="Arial"/>
          <w:sz w:val="22"/>
          <w:szCs w:val="22"/>
        </w:rPr>
        <w:t xml:space="preserve">Projekte turi būti pateiktas medžių šalinimo žiniaraštis, kuriame nurodoma tiksli faktinė informacija:</w:t>
      </w:r>
    </w:p>
    <w:p w14:paraId="644663E8">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patekimas į kelio juostą;</w:t>
      </w:r>
    </w:p>
    <w:p w14:paraId="644663E9">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piketas ir kelio pusė;</w:t>
      </w:r>
    </w:p>
    <w:p w14:paraId="644663EA">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atstumas nuo kelio važiuojamosios dalies krašto iki šalinamo medžio;</w:t>
      </w:r>
    </w:p>
    <w:p w14:paraId="644663EB">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skersmuo;</w:t>
      </w:r>
    </w:p>
    <w:p w14:paraId="644663EC">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rūšis;</w:t>
      </w:r>
    </w:p>
    <w:p w14:paraId="644663ED">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saugotinas ar ne;</w:t>
      </w:r>
    </w:p>
    <w:p w14:paraId="644663EE">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saugotino medžio būklė (gera, patenkinama, nepatenkinama, bloga (vadovaujantis Lietuvos Respublikos aplinkos ministro 2008 m. birželio 26 d. įsakymu Nr. D1-343; (aktualios redakcijos) nuostatomis);</w:t>
      </w:r>
    </w:p>
    <w:p w14:paraId="644663EF">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medžio šalinimo priežastis (-ys</w:t>
      </w:r>
      <w:r>
        <w:rPr>
          <w:rFonts w:ascii="Arial" w:hAnsi="Arial" w:eastAsia="Aptos" w:cs="Arial"/>
          <w:sz w:val="22"/>
          <w:szCs w:val="22"/>
        </w:rPr>
        <w:t xml:space="preserve">), atitiktis Aprašo 10 punkte nustatytoms sąlygoms;</w:t>
      </w:r>
    </w:p>
    <w:p w14:paraId="644663F0">
      <w:pPr>
        <w:numPr>
          <w:ilvl w:val="0"/>
          <w:numId w:val="30"/>
        </w:numPr>
        <w:tabs>
          <w:tab w:val="clear" w:pos="720"/>
          <w:tab w:val="num" w:pos="1560"/>
        </w:tabs>
        <w:spacing w:line="259" w:lineRule="auto"/>
        <w:ind w:left="1276" w:hanging="425"/>
        <w:jc w:val="left"/>
        <w:rPr>
          <w:rFonts w:ascii="Arial" w:hAnsi="Arial" w:eastAsia="Aptos" w:cs="Arial"/>
          <w:sz w:val="22"/>
          <w:szCs w:val="22"/>
        </w:rPr>
      </w:pPr>
      <w:r>
        <w:rPr>
          <w:rFonts w:ascii="Arial" w:hAnsi="Arial" w:eastAsia="Aptos" w:cs="Arial"/>
          <w:sz w:val="22"/>
          <w:szCs w:val="22"/>
        </w:rPr>
        <w:t xml:space="preserve">vieta kelio plano brėžinyje.</w:t>
      </w:r>
    </w:p>
    <w:p w14:paraId="644663F1">
      <w:pPr>
        <w:spacing/>
        <w:ind w:left="567"/>
        <w:rPr>
          <w:rFonts w:ascii="Arial" w:hAnsi="Arial" w:eastAsia="Aptos" w:cs="Arial"/>
          <w:sz w:val="22"/>
          <w:szCs w:val="22"/>
        </w:rPr>
      </w:pPr>
      <w:r>
        <w:rPr>
          <w:rFonts w:ascii="Arial" w:hAnsi="Arial" w:eastAsia="Aptos" w:cs="Arial"/>
          <w:sz w:val="22"/>
          <w:szCs w:val="22"/>
        </w:rPr>
        <w:t xml:space="preserve">Jei yra saugotinų medžių, ieškoti sprendinių, kad būtų išsaugota kuo daugiau geros būklės saugotinų medžių.</w:t>
      </w:r>
    </w:p>
    <w:p w14:paraId="644663F2">
      <w:pPr>
        <w:spacing/>
        <w:ind w:left="567"/>
        <w:rPr>
          <w:rFonts w:ascii="Arial" w:hAnsi="Arial" w:eastAsia="Aptos" w:cs="Arial"/>
          <w:sz w:val="22"/>
          <w:szCs w:val="22"/>
        </w:rPr>
      </w:pPr>
      <w:r>
        <w:rPr>
          <w:rFonts w:ascii="Arial" w:hAnsi="Arial" w:eastAsia="Aptos" w:cs="Arial"/>
          <w:sz w:val="22"/>
          <w:szCs w:val="22"/>
        </w:rPr>
        <w:t xml:space="preserve">Esant poreikiui kirsti medžius, Teikėjas apie tai turi informuoti seniūną ir pateikti jam kertamų medžių žiniaraštį.</w:t>
      </w:r>
    </w:p>
    <w:p w14:paraId="644663F3">
      <w:pPr>
        <w:spacing/>
        <w:ind w:left="567"/>
        <w:rPr>
          <w:rFonts w:ascii="Arial" w:hAnsi="Arial" w:eastAsia="Aptos" w:cs="Arial"/>
          <w:sz w:val="22"/>
          <w:szCs w:val="22"/>
        </w:rPr>
      </w:pPr>
      <w:r>
        <w:rPr>
          <w:rFonts w:ascii="Arial" w:hAnsi="Arial" w:eastAsia="Aptos" w:cs="Arial"/>
          <w:sz w:val="22"/>
          <w:szCs w:val="22"/>
        </w:rPr>
        <w:t xml:space="preserve">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644663F4">
      <w:pPr>
        <w:spacing/>
        <w:ind w:left="567"/>
        <w:rPr>
          <w:rFonts w:ascii="Arial" w:hAnsi="Arial" w:eastAsia="Aptos" w:cs="Arial"/>
          <w:sz w:val="22"/>
          <w:szCs w:val="22"/>
        </w:rPr>
      </w:pPr>
      <w:r>
        <w:rPr>
          <w:rFonts w:ascii="Arial" w:hAnsi="Arial" w:eastAsia="Aptos" w:cs="Arial"/>
          <w:sz w:val="22"/>
          <w:szCs w:val="22"/>
        </w:rPr>
        <w:t xml:space="preserve">Įvertinti gamtinio karkaso teritorijas ir gamtinio karkaso nuostatų (patvirtintų Lietuvos Respublikos aplinkos ministro 2010 m. liepos 16 d. įsakymu Nr. D1-624 (aktualia redakcija)) taikymą:</w:t>
      </w:r>
    </w:p>
    <w:p w14:paraId="644663F5">
      <w:pPr>
        <w:spacing/>
        <w:ind w:left="567"/>
        <w:rPr>
          <w:rFonts w:ascii="Arial" w:hAnsi="Arial" w:eastAsia="Aptos" w:cs="Arial"/>
          <w:sz w:val="22"/>
          <w:szCs w:val="22"/>
        </w:rPr>
      </w:pPr>
      <w:r>
        <w:rPr>
          <w:rFonts w:ascii="Arial" w:hAnsi="Arial" w:eastAsia="Aptos" w:cs="Arial"/>
          <w:sz w:val="22"/>
          <w:szCs w:val="22"/>
        </w:rPr>
        <w:t xml:space="preserve">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44663F6">
      <w:pPr>
        <w:spacing/>
        <w:ind w:left="567"/>
        <w:rPr>
          <w:rFonts w:ascii="Arial" w:hAnsi="Arial" w:eastAsia="Aptos" w:cs="Arial"/>
          <w:sz w:val="22"/>
          <w:szCs w:val="22"/>
        </w:rPr>
      </w:pPr>
      <w:r>
        <w:rPr>
          <w:rFonts w:ascii="Arial" w:hAnsi="Arial" w:eastAsia="Aptos" w:cs="Arial"/>
          <w:sz w:val="22"/>
          <w:szCs w:val="22"/>
        </w:rPr>
        <w:t xml:space="preserve">Rekonstruojant gamtinio karkaso teritorijose esančius ar jį kertančius kelius, eismo saugumui užtikrinti galima šalinti medžius tik tuo atveju, jei numatomas naujų želdinių įveisimas, derinant ekologinius ir eismo saugumo reikalavimus.</w:t>
      </w:r>
    </w:p>
    <w:p w14:paraId="644663F7">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Kraštovaizdis</w:t>
      </w:r>
    </w:p>
    <w:p w14:paraId="644663F8">
      <w:pPr>
        <w:spacing/>
        <w:ind w:left="567"/>
        <w:contextualSpacing/>
        <w:rPr>
          <w:rFonts w:ascii="Arial" w:hAnsi="Arial" w:eastAsiaTheme="minorHAnsi" w:cs="Arial"/>
          <w:sz w:val="22"/>
          <w:szCs w:val="22"/>
        </w:rPr>
      </w:pPr>
      <w:r>
        <w:rPr>
          <w:rFonts w:ascii="Arial" w:hAnsi="Arial" w:eastAsiaTheme="minorHAnsi" w:cs="Arial"/>
          <w:sz w:val="22"/>
          <w:szCs w:val="22"/>
        </w:rPr>
        <w:t xml:space="preserve">Turi būti formuojamas bendras kelio įvaizdis, derinant priemones, kelio elementus prie kraštovaizdžio ir suderinant (įtraukiant gerąją praktiką) su priemonėmis kituose susijusiuose to paties kelio ruožuose. Taikyti LR aplinkos ministerijos dokumentą „</w:t>
      </w:r>
      <w:r>
        <w:rPr>
          <w:rFonts w:ascii="Arial" w:hAnsi="Arial" w:eastAsiaTheme="minorHAnsi" w:cs="Arial"/>
          <w:i/>
          <w:iCs/>
          <w:sz w:val="22"/>
          <w:szCs w:val="22"/>
        </w:rPr>
        <w:t xml:space="preserve">Kraštovaizdžio formavimo gairės valstybiniams keliams ir geležinkeliams“, </w:t>
      </w:r>
      <w:r>
        <w:rPr>
          <w:rFonts w:ascii="Arial" w:hAnsi="Arial" w:eastAsiaTheme="minorHAnsi" w:cs="Arial"/>
          <w:sz w:val="22"/>
          <w:szCs w:val="22"/>
        </w:rPr>
        <w:t xml:space="preserve">naujausias žinias, gerąją praktiką.</w:t>
      </w:r>
    </w:p>
    <w:p w14:paraId="644663F9">
      <w:pPr>
        <w:numPr>
          <w:ilvl w:val="1"/>
          <w:numId w:val="2"/>
        </w:numPr>
        <w:spacing w:after="160" w:line="259" w:lineRule="auto"/>
        <w:ind w:left="567" w:firstLine="0"/>
        <w:contextualSpacing/>
        <w:jc w:val="left"/>
        <w:rPr>
          <w:rFonts w:ascii="Arial" w:hAnsi="Arial" w:cs="Arial"/>
          <w:b/>
          <w:bCs/>
          <w:sz w:val="22"/>
          <w:szCs w:val="22"/>
          <w:lang w:eastAsia="lt-LT"/>
        </w:rPr>
      </w:pPr>
      <w:r>
        <w:rPr>
          <w:rFonts w:ascii="Arial" w:hAnsi="Arial" w:cs="Arial"/>
          <w:b/>
          <w:bCs/>
          <w:sz w:val="22"/>
          <w:szCs w:val="22"/>
          <w:lang w:eastAsia="lt-LT"/>
        </w:rPr>
        <w:t xml:space="preserve">Prisitaikymas prie klimato kaitos</w:t>
      </w:r>
    </w:p>
    <w:p w14:paraId="644663FA">
      <w:pPr>
        <w:spacing/>
        <w:ind w:left="567"/>
        <w:contextualSpacing/>
        <w:rPr>
          <w:rFonts w:ascii="Arial" w:hAnsi="Arial" w:cs="Arial"/>
          <w:sz w:val="22"/>
          <w:szCs w:val="22"/>
          <w:lang w:eastAsia="lt-LT"/>
        </w:rPr>
      </w:pPr>
      <w:r>
        <w:rPr>
          <w:rFonts w:ascii="Arial" w:hAnsi="Arial" w:cs="Arial"/>
          <w:sz w:val="22"/>
          <w:szCs w:val="22"/>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metų duomenis. Įvertinti visas galimas rizikas. Taikyti STR 2.01.12:2024 „Statybų klimatologija“ aktualią redakciją, Nacionalinio atlaso informaciją. Taikyti prognozinius duomenis (šaltiniai: Lietuvos Respublikos aplinkos ministerija, Aplinkos apsaug</w:t>
      </w:r>
      <w:r>
        <w:rPr>
          <w:rFonts w:ascii="Arial" w:hAnsi="Arial" w:cs="Arial"/>
          <w:sz w:val="22"/>
          <w:szCs w:val="22"/>
          <w:lang w:eastAsia="lt-LT"/>
        </w:rPr>
        <w:t xml:space="preserve">os agentūra, Lietuvos hidrometeorologijos tarnyba).</w:t>
      </w:r>
    </w:p>
    <w:p w14:paraId="644663FB">
      <w:pPr>
        <w:spacing/>
        <w:ind w:left="567"/>
        <w:contextualSpacing/>
        <w:rPr>
          <w:rStyle w:val="normaltextrun"/>
          <w:rFonts w:ascii="Arial" w:hAnsi="Arial" w:cs="Arial"/>
          <w:b/>
          <w:bCs/>
          <w:sz w:val="22"/>
          <w:szCs w:val="22"/>
        </w:rPr>
      </w:pPr>
      <w:r>
        <w:rPr>
          <w:rStyle w:val="normaltextrun"/>
          <w:rFonts w:ascii="Arial" w:hAnsi="Arial" w:cs="Arial"/>
          <w:b/>
          <w:bCs/>
          <w:sz w:val="22"/>
          <w:szCs w:val="22"/>
        </w:rPr>
        <w:t xml:space="preserve">11.20 apsaugos sistemos nuo laukinių gyvūnų (ASNLG) ir pavienės apsaugos priemonės nuo laukinių gyvūnų </w:t>
      </w:r>
    </w:p>
    <w:p w14:paraId="644663FC">
      <w:pPr>
        <w:spacing/>
        <w:ind w:left="567"/>
        <w:contextualSpacing/>
        <w:rPr>
          <w:rFonts w:ascii="Arial" w:hAnsi="Arial" w:cs="Arial"/>
          <w:sz w:val="22"/>
          <w:szCs w:val="22"/>
        </w:rPr>
      </w:pPr>
      <w:r>
        <w:rPr>
          <w:rStyle w:val="normaltextrun"/>
          <w:rFonts w:ascii="Arial" w:hAnsi="Arial" w:cs="Arial"/>
          <w:sz w:val="22"/>
          <w:szCs w:val="22"/>
        </w:rPr>
        <w:t xml:space="preserve">Nustatoma projektavimo metu, rengiant aplinkosauginius dokumentus.</w:t>
      </w:r>
      <w:r>
        <w:rPr>
          <w:rFonts w:ascii="Arial" w:hAnsi="Arial" w:cs="Arial"/>
          <w:sz w:val="22"/>
          <w:szCs w:val="22"/>
        </w:rPr>
        <w:t xml:space="preserve"> Vadovautis "Biologinės įvairovės apsaugos priemonių valstybinės reikšmės keliuose planavimo ir projektavimo rekomendacijomis" (</w:t>
      </w:r>
      <w:r>
        <w:rPr/>
        <w:fldChar w:fldCharType="begin"/>
      </w:r>
      <w:r>
        <w:rPr/>
        <w:instrText xml:space="preserve">HYPERLINK "https://e-seimas.lrs.lt/portal/legalAct/lt/TAP/2711be90d1dc11f0a842b0e89767e3dc?positionInSearchResults=0&amp;searchModelUUID=57fda5a1-f189-4545-b7ae-19686b260dce" \o "https://e-seimas.lrs.lt/portal/legalact/lt/tap/2711be90d1dc11f0a842b0e89767e3dc?positioninsearchresults=0&amp;searchmodeluuid=57fda5a1-f189-4545-b7ae-19686b260dce"</w:instrText>
      </w:r>
      <w:r>
        <w:rPr/>
        <w:fldChar w:fldCharType="separate"/>
      </w:r>
      <w:r>
        <w:rPr>
          <w:rFonts w:ascii="Arial" w:hAnsi="Arial" w:cs="Arial"/>
          <w:color w:val="0000FF"/>
          <w:sz w:val="22"/>
          <w:szCs w:val="22"/>
          <w:u w:val="single"/>
        </w:rPr>
        <w:t xml:space="preserve">DĖL BIOLOGINĖS ĮVAIROVĖS APSAUGOS VALSTYBINĖS REIKŠMĖS KELIUOSE REKOMENDACIJŲ PATVIRTINIMO</w:t>
      </w:r>
      <w:r>
        <w:rPr/>
        <w:fldChar w:fldCharType="end"/>
      </w:r>
      <w:r>
        <w:rPr>
          <w:rFonts w:ascii="Arial" w:hAnsi="Arial" w:cs="Arial"/>
          <w:sz w:val="22"/>
          <w:szCs w:val="22"/>
        </w:rPr>
        <w:t xml:space="preserve">). </w:t>
      </w:r>
      <w:r>
        <w:rPr>
          <w:rStyle w:val="normaltextrun"/>
          <w:rFonts w:ascii="Arial" w:hAnsi="Arial" w:cs="Arial"/>
          <w:sz w:val="22"/>
          <w:szCs w:val="22"/>
        </w:rPr>
        <w:t xml:space="preserve">Tuo atveju, jeigu rekonstruojamame kelio ruože yra esamos apsaugos priemonės nuo laukinių gyvūnų, turi būti nustatytas esamų apsaugos sistemų nuo laukinių gyvūnų remonto / tvarkymo poreikis.</w:t>
      </w:r>
    </w:p>
    <w:p w14:paraId="644663FD">
      <w:pPr>
        <w:numPr>
          <w:ilvl w:val="1"/>
          <w:numId w:val="2"/>
        </w:numPr>
        <w:spacing w:after="160" w:line="259" w:lineRule="auto"/>
        <w:ind w:left="567" w:firstLine="0"/>
        <w:contextualSpacing/>
        <w:jc w:val="left"/>
        <w:rPr>
          <w:rFonts w:ascii="Arial" w:hAnsi="Arial" w:cs="Arial"/>
          <w:sz w:val="22"/>
          <w:szCs w:val="22"/>
          <w:lang w:eastAsia="lt-LT"/>
        </w:rPr>
      </w:pPr>
      <w:r>
        <w:rPr>
          <w:rFonts w:ascii="Arial" w:hAnsi="Arial" w:cs="Arial"/>
          <w:b/>
          <w:bCs/>
          <w:sz w:val="22"/>
          <w:szCs w:val="22"/>
          <w:lang w:eastAsia="lt-LT"/>
        </w:rPr>
        <w:t xml:space="preserve">Triukšmą mažinančios priemonės</w:t>
      </w:r>
    </w:p>
    <w:p w14:paraId="644663FE">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Priemonių poreikis nustatomas projektavimo metu, atlikus prognozinį vertinimą. Triukšmo lygis vertinamas CNOSSOS-EU metodu. Taikomi vietos meteorologiniai duomenys.</w:t>
      </w:r>
    </w:p>
    <w:p w14:paraId="644663FF">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Pateikiama informacija apie pagrindinius kelius.</w:t>
      </w:r>
    </w:p>
    <w:p w14:paraId="64466400">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Mažatriukšmės kelio dangos parinkimas turi būti pagrįstas Užsakovo normatyvinių dokumentų nuostatomis, gerąja praktika. Turi būti atliktas tikslus kelių eismo sukeliamo triukšmo modeliavimas, detaliai vertinamos visos eismo juostos. Užtikrinti 1 dBA žemesnį triukšmo lygį negu įvertinamasis triukšmo ribinis dydis.</w:t>
      </w:r>
    </w:p>
    <w:p w14:paraId="64466401">
      <w:pPr>
        <w:spacing w:line="259" w:lineRule="auto"/>
        <w:ind w:left="567"/>
        <w:contextualSpacing/>
        <w:rPr>
          <w:rFonts w:ascii="Arial" w:hAnsi="Arial" w:cs="Arial"/>
          <w:sz w:val="22"/>
          <w:szCs w:val="22"/>
          <w:lang w:eastAsia="lt-LT"/>
        </w:rPr>
      </w:pPr>
      <w:r>
        <w:rPr>
          <w:rFonts w:ascii="Arial" w:hAnsi="Arial" w:cs="Arial"/>
          <w:sz w:val="22"/>
          <w:szCs w:val="22"/>
          <w:lang w:eastAsia="lt-LT"/>
        </w:rPr>
        <w:t xml:space="preserve">Ne aglomeracijose esančių nepagrindinių kelių rekonstravimo atveju taikomos LR susisiekimo ministro 2018 m. birželio 21 d. įsakymo Nr. 3-300 ir galiojančios Lietuvos higienos normos HN 33 nuostatos.</w:t>
      </w:r>
    </w:p>
    <w:p w14:paraId="64466402">
      <w:pPr>
        <w:spacing w:line="259" w:lineRule="auto"/>
        <w:ind w:left="567"/>
        <w:rPr>
          <w:rFonts w:ascii="Arial" w:hAnsi="Arial" w:eastAsia="Aptos" w:cs="Arial"/>
          <w:sz w:val="22"/>
          <w:szCs w:val="22"/>
        </w:rPr>
      </w:pPr>
    </w:p>
    <w:p w14:paraId="64466403">
      <w:pPr>
        <w:numPr>
          <w:ilvl w:val="0"/>
          <w:numId w:val="2"/>
        </w:numPr>
        <w:suppressAutoHyphens/>
        <w:spacing w:before="120" w:after="120" w:line="259" w:lineRule="auto"/>
        <w:ind w:left="641" w:hanging="357"/>
        <w:jc w:val="left"/>
        <w:rPr>
          <w:rFonts w:ascii="Arial" w:hAnsi="Arial" w:cs="Arial"/>
          <w:b/>
          <w:bCs/>
          <w:sz w:val="22"/>
          <w:szCs w:val="22"/>
        </w:rPr>
      </w:pPr>
      <w:r>
        <w:rPr>
          <w:rFonts w:ascii="Arial" w:hAnsi="Arial" w:cs="Arial"/>
          <w:b/>
          <w:bCs/>
          <w:sz w:val="22"/>
          <w:szCs w:val="22"/>
        </w:rPr>
        <w:t xml:space="preserve">S</w:t>
      </w:r>
      <w:r>
        <w:rPr>
          <w:rFonts w:ascii="Arial" w:hAnsi="Arial" w:cs="Arial"/>
          <w:b/>
          <w:bCs/>
          <w:sz w:val="22"/>
          <w:szCs w:val="22"/>
        </w:rPr>
        <w:t xml:space="preserve">TATINIŲ LAIKANČIŲJŲ KONSTRUKCIJŲ INŽINERINIŲ SKAIČIAVIMŲ ANALIZĖ</w:t>
      </w:r>
    </w:p>
    <w:p w14:paraId="64466404">
      <w:pPr>
        <w:pStyle w:val="paragraph"/>
        <w:shd w:val="clear" w:color="auto" w:fill="FFFFFF"/>
        <w:spacing w:before="0" w:beforeAutospacing="0" w:after="0" w:afterAutospacing="0"/>
        <w:ind w:left="555"/>
        <w:jc w:val="both"/>
        <w:textAlignment w:val="baseline"/>
        <w:rPr>
          <w:rFonts w:ascii="Segoe UI" w:hAnsi="Segoe UI" w:cs="Segoe UI"/>
          <w:sz w:val="18"/>
          <w:szCs w:val="18"/>
        </w:rPr>
      </w:pPr>
      <w:r>
        <w:rPr>
          <w:rStyle w:val="normaltextrun"/>
          <w:rFonts w:ascii="Arial" w:hAnsi="Arial" w:cs="Arial"/>
          <w:sz w:val="22"/>
          <w:szCs w:val="22"/>
        </w:rPr>
        <w:t xml:space="preserve">Teikėjas teikdamas pilnos apimties projektą, konstrukcijų dalies prieduose turi pateikti statinio laikančiųjų konstrukcijų analizę, kurioje turi būti:</w:t>
      </w:r>
      <w:r>
        <w:rPr>
          <w:rStyle w:val="eop"/>
          <w:rFonts w:ascii="Arial" w:hAnsi="Arial" w:cs="Arial"/>
          <w:sz w:val="22"/>
          <w:szCs w:val="22"/>
        </w:rPr>
        <w:t xml:space="preserve"> </w:t>
      </w:r>
    </w:p>
    <w:p w14:paraId="64466405">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tilto ir tilto perdangos skaičiuojamosios schemos;</w:t>
      </w:r>
      <w:r>
        <w:rPr>
          <w:rStyle w:val="eop"/>
          <w:rFonts w:ascii="Arial" w:hAnsi="Arial" w:cs="Arial"/>
          <w:sz w:val="22"/>
          <w:szCs w:val="22"/>
        </w:rPr>
        <w:t xml:space="preserve"> </w:t>
      </w:r>
    </w:p>
    <w:p w14:paraId="64466406">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laikančiųjų konstrukcijų skaičiavimui naudojamų medžiagų charakteristinės ir skaičiuojamosios vertės;</w:t>
      </w:r>
      <w:r>
        <w:rPr>
          <w:rStyle w:val="eop"/>
          <w:rFonts w:ascii="Arial" w:hAnsi="Arial" w:cs="Arial"/>
          <w:sz w:val="22"/>
          <w:szCs w:val="22"/>
        </w:rPr>
        <w:t xml:space="preserve"> </w:t>
      </w:r>
    </w:p>
    <w:p w14:paraId="64466407">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projektinės tilto apkrovos, kelio kategorija;</w:t>
      </w:r>
      <w:r>
        <w:rPr>
          <w:rStyle w:val="eop"/>
          <w:rFonts w:ascii="Arial" w:hAnsi="Arial" w:cs="Arial"/>
          <w:sz w:val="22"/>
          <w:szCs w:val="22"/>
        </w:rPr>
        <w:t xml:space="preserve"> </w:t>
      </w:r>
    </w:p>
    <w:p w14:paraId="64466408">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tiltą veikiančių nuolatinių apkrovų skaičiavimas, nurodyti apkrovų patikimumo koeficientai, pateikti nuolatinių apkrovų skaičiavimo rezultatai;</w:t>
      </w:r>
      <w:r>
        <w:rPr>
          <w:rStyle w:val="eop"/>
          <w:rFonts w:ascii="Arial" w:hAnsi="Arial" w:cs="Arial"/>
          <w:sz w:val="22"/>
          <w:szCs w:val="22"/>
        </w:rPr>
        <w:t xml:space="preserve"> </w:t>
      </w:r>
    </w:p>
    <w:p w14:paraId="64466409">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tiltą veikiančių kintamų apkrovų skaičiavimas, nurodyti apkrovų patikimumo koeficientai, pateikti kintamų apkrovų skaičiavimo rezultatai.</w:t>
      </w:r>
      <w:r>
        <w:rPr>
          <w:rStyle w:val="eop"/>
          <w:rFonts w:ascii="Arial" w:hAnsi="Arial" w:cs="Arial"/>
          <w:sz w:val="22"/>
          <w:szCs w:val="22"/>
        </w:rPr>
        <w:t xml:space="preserve"> </w:t>
      </w:r>
    </w:p>
    <w:p w14:paraId="6446640A">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saugos ir tinkamumo ribinių būvių deriniai, aprašyti derinių koeficientai;</w:t>
      </w:r>
      <w:r>
        <w:rPr>
          <w:rStyle w:val="eop"/>
          <w:rFonts w:ascii="Arial" w:hAnsi="Arial" w:cs="Arial"/>
          <w:sz w:val="22"/>
          <w:szCs w:val="22"/>
        </w:rPr>
        <w:t xml:space="preserve"> </w:t>
      </w:r>
    </w:p>
    <w:p w14:paraId="6446640B">
      <w:pPr>
        <w:pStyle w:val="paragraph"/>
        <w:numPr>
          <w:ilvl w:val="0"/>
          <w:numId w:val="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pamatų, atramų, perdangos laikomosios galios skaičiavimai saugos ir tinkamumo ribiniams būviams, taikant Eurokodų reikalavimus bei pateikiant:</w:t>
      </w:r>
      <w:r>
        <w:rPr>
          <w:rStyle w:val="eop"/>
          <w:rFonts w:ascii="Arial" w:hAnsi="Arial" w:cs="Arial"/>
          <w:sz w:val="22"/>
          <w:szCs w:val="22"/>
        </w:rPr>
        <w:t xml:space="preserve"> </w:t>
      </w:r>
    </w:p>
    <w:p w14:paraId="6446640C">
      <w:pPr>
        <w:pStyle w:val="paragraph"/>
        <w:numPr>
          <w:ilvl w:val="0"/>
          <w:numId w:val="14"/>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įrąžų gaubtinių diagramas nuo tariamai nuolatinių, charakteristinių, dažninių ir skaičiuojamųjų nuolatinių ir kintamų apkrovų derinių poveikio, pagal normatyviniuose dokumentuose pateiktus </w:t>
      </w:r>
      <w:r>
        <w:rPr>
          <w:rStyle w:val="eop"/>
          <w:rFonts w:ascii="Arial" w:hAnsi="Arial" w:cs="Arial"/>
          <w:sz w:val="22"/>
          <w:szCs w:val="22"/>
        </w:rPr>
        <w:t xml:space="preserve"> </w:t>
      </w:r>
    </w:p>
    <w:p w14:paraId="6446640D">
      <w:pPr>
        <w:pStyle w:val="paragraph"/>
        <w:numPr>
          <w:ilvl w:val="0"/>
          <w:numId w:val="14"/>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apibendrintus atliktų skaičiavimų rezultatus.</w:t>
      </w:r>
      <w:r>
        <w:rPr>
          <w:rStyle w:val="eop"/>
          <w:rFonts w:ascii="Arial" w:hAnsi="Arial" w:cs="Arial"/>
          <w:sz w:val="22"/>
          <w:szCs w:val="22"/>
        </w:rPr>
        <w:t xml:space="preserve"> </w:t>
      </w:r>
    </w:p>
    <w:p w14:paraId="6446640E">
      <w:pPr>
        <w:pStyle w:val="paragraph"/>
        <w:numPr>
          <w:ilvl w:val="0"/>
          <w:numId w:val="34"/>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perdangos įlinkio kreivė su reikšmėmis nuo:</w:t>
      </w:r>
      <w:r>
        <w:rPr>
          <w:rStyle w:val="eop"/>
          <w:rFonts w:ascii="Arial" w:hAnsi="Arial" w:cs="Arial"/>
          <w:sz w:val="22"/>
          <w:szCs w:val="22"/>
        </w:rPr>
        <w:t xml:space="preserve"> </w:t>
      </w:r>
    </w:p>
    <w:p w14:paraId="6446640F">
      <w:pPr>
        <w:pStyle w:val="paragraph"/>
        <w:numPr>
          <w:ilvl w:val="0"/>
          <w:numId w:val="3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nuolatinių </w:t>
      </w:r>
      <w:r>
        <w:rPr>
          <w:rStyle w:val="normaltextrun"/>
          <w:rFonts w:ascii="Arial" w:hAnsi="Arial" w:cs="Arial"/>
          <w:sz w:val="22"/>
          <w:szCs w:val="22"/>
        </w:rPr>
        <w:t xml:space="preserve">charakteristinių apkrovų poveikio;</w:t>
      </w:r>
      <w:r>
        <w:rPr>
          <w:rStyle w:val="eop"/>
          <w:rFonts w:ascii="Arial" w:hAnsi="Arial" w:cs="Arial"/>
          <w:sz w:val="22"/>
          <w:szCs w:val="22"/>
        </w:rPr>
        <w:t xml:space="preserve"> </w:t>
      </w:r>
    </w:p>
    <w:p w14:paraId="64466410">
      <w:pPr>
        <w:pStyle w:val="paragraph"/>
        <w:numPr>
          <w:ilvl w:val="0"/>
          <w:numId w:val="36"/>
        </w:numPr>
        <w:shd w:val="clear" w:color="auto" w:fill="FFFFFF"/>
        <w:spacing w:before="0" w:beforeAutospacing="0" w:after="0" w:afterAutospacing="0"/>
        <w:textAlignment w:val="baseline"/>
        <w:rPr>
          <w:rFonts w:ascii="Arial" w:hAnsi="Arial" w:cs="Arial"/>
          <w:sz w:val="22"/>
          <w:szCs w:val="22"/>
        </w:rPr>
      </w:pPr>
      <w:r>
        <w:rPr>
          <w:rStyle w:val="normaltextrun"/>
          <w:rFonts w:ascii="Arial" w:hAnsi="Arial" w:cs="Arial"/>
          <w:sz w:val="22"/>
          <w:szCs w:val="22"/>
        </w:rPr>
        <w:t xml:space="preserve">kintamų charakteristinių apkrovų poveikio;</w:t>
      </w:r>
      <w:r>
        <w:rPr>
          <w:rStyle w:val="eop"/>
          <w:rFonts w:ascii="Arial" w:hAnsi="Arial" w:cs="Arial"/>
          <w:sz w:val="22"/>
          <w:szCs w:val="22"/>
        </w:rPr>
        <w:t xml:space="preserve"> </w:t>
      </w:r>
    </w:p>
    <w:p w14:paraId="64466411">
      <w:pPr>
        <w:pStyle w:val="paragraph"/>
        <w:numPr>
          <w:ilvl w:val="0"/>
          <w:numId w:val="36"/>
        </w:numPr>
        <w:shd w:val="clear" w:color="auto" w:fill="FFFFFF"/>
        <w:spacing w:before="0" w:beforeAutospacing="0" w:after="0" w:afterAutospacing="0"/>
        <w:textAlignment w:val="baseline"/>
        <w:rPr>
          <w:rStyle w:val="eop"/>
          <w:rFonts w:ascii="Arial" w:hAnsi="Arial" w:cs="Arial"/>
          <w:sz w:val="22"/>
          <w:szCs w:val="22"/>
        </w:rPr>
      </w:pPr>
      <w:r>
        <w:rPr>
          <w:rStyle w:val="normaltextrun"/>
          <w:rFonts w:ascii="Arial" w:hAnsi="Arial" w:cs="Arial"/>
          <w:sz w:val="22"/>
          <w:szCs w:val="22"/>
        </w:rPr>
        <w:t xml:space="preserve">nuo apkrovų derinio tinkamumo ribiniam būviui.</w:t>
      </w:r>
      <w:r>
        <w:rPr>
          <w:rStyle w:val="eop"/>
          <w:rFonts w:ascii="Arial" w:hAnsi="Arial" w:cs="Arial"/>
          <w:sz w:val="22"/>
          <w:szCs w:val="22"/>
        </w:rPr>
        <w:t xml:space="preserve"> </w:t>
      </w:r>
    </w:p>
    <w:p w14:paraId="64466412">
      <w:pPr>
        <w:pStyle w:val="paragraph"/>
        <w:shd w:val="clear" w:color="auto" w:fill="FFFFFF"/>
        <w:spacing w:before="0" w:beforeAutospacing="0" w:after="0" w:afterAutospacing="0"/>
        <w:ind w:left="2865"/>
        <w:textAlignment w:val="baseline"/>
        <w:rPr>
          <w:rFonts w:ascii="Arial" w:hAnsi="Arial" w:cs="Arial"/>
          <w:sz w:val="22"/>
          <w:szCs w:val="22"/>
        </w:rPr>
      </w:pPr>
    </w:p>
    <w:p w14:paraId="64466413">
      <w:pPr>
        <w:pStyle w:val="ListParagraph"/>
        <w:numPr>
          <w:ilvl w:val="0"/>
          <w:numId w:val="2"/>
        </w:numPr>
        <w:spacing/>
        <w:rPr>
          <w:rFonts w:ascii="Arial" w:hAnsi="Arial" w:eastAsia="Times New Roman" w:cs="Arial"/>
          <w:b/>
          <w:bCs/>
          <w:sz w:val="22"/>
        </w:rPr>
      </w:pPr>
      <w:r>
        <w:rPr>
          <w:rFonts w:ascii="Arial" w:hAnsi="Arial" w:eastAsia="Times New Roman" w:cs="Arial"/>
          <w:b/>
          <w:bCs/>
          <w:sz w:val="22"/>
        </w:rPr>
        <w:t xml:space="preserve">ESAMO EISMO VERTINIMAS IR EISMO ORGANIZAVIMAS STATYBOS METU</w:t>
      </w:r>
    </w:p>
    <w:p w14:paraId="64466414">
      <w:pPr>
        <w:suppressAutoHyphens/>
        <w:spacing/>
        <w:ind w:left="644"/>
        <w:contextualSpacing/>
        <w:rPr>
          <w:rFonts w:ascii="Arial" w:hAnsi="Arial" w:cs="Arial"/>
          <w:sz w:val="22"/>
          <w:szCs w:val="22"/>
        </w:rPr>
      </w:pPr>
      <w:r>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4466415">
      <w:pPr>
        <w:suppressAutoHyphens/>
        <w:spacing/>
        <w:ind w:left="644"/>
        <w:contextualSpacing/>
        <w:rPr>
          <w:rFonts w:ascii="Arial" w:hAnsi="Arial" w:cs="Arial"/>
          <w:sz w:val="22"/>
          <w:szCs w:val="22"/>
        </w:rPr>
      </w:pPr>
      <w:r>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64466416">
      <w:pPr>
        <w:suppressAutoHyphens/>
        <w:spacing/>
        <w:ind w:left="644"/>
        <w:contextualSpacing/>
        <w:rPr>
          <w:rFonts w:ascii="Arial" w:hAnsi="Arial" w:cs="Arial"/>
          <w:sz w:val="22"/>
          <w:szCs w:val="22"/>
        </w:rPr>
      </w:pPr>
      <w:r>
        <w:rPr>
          <w:rFonts w:ascii="Arial" w:hAnsi="Arial" w:cs="Arial"/>
          <w:sz w:val="22"/>
          <w:szCs w:val="22"/>
        </w:rPr>
        <w:t xml:space="preserve">Statybos darbų metu, darbo vietų zonose iš esmės reikia išlaikyti esamą eismo juostų skaičių. Šiose zonose išimtinais atvejais eismo juostų skaičius gali būti sumažin</w:t>
      </w:r>
      <w:r>
        <w:rPr>
          <w:rFonts w:ascii="Arial" w:hAnsi="Arial" w:cs="Arial"/>
          <w:sz w:val="22"/>
          <w:szCs w:val="22"/>
        </w:rPr>
        <w:t xml:space="preserve">a</w:t>
      </w:r>
      <w:r>
        <w:rPr>
          <w:rFonts w:ascii="Arial" w:hAnsi="Arial" w:cs="Arial"/>
          <w:sz w:val="22"/>
          <w:szCs w:val="22"/>
        </w:rPr>
        <w:t xml:space="preserve">mas, jei, esant dviem eismo juostoms kelio ruožo vidutinis metinis paros eismo intensyvumas (VMPEI) yra iki 6000 aut. per parą, ir eismo intensyvumas piko metu yra mažesnis kaip 1200 aut./val. Tai taikoma su sąlyga kai transporto sraute 10-15 % sudaro krovininis transportas.  </w:t>
      </w:r>
    </w:p>
    <w:p w14:paraId="64466417">
      <w:pPr>
        <w:suppressAutoHyphens/>
        <w:spacing/>
        <w:ind w:left="644"/>
        <w:rPr>
          <w:rFonts w:ascii="Arial" w:hAnsi="Arial" w:cs="Arial"/>
          <w:sz w:val="22"/>
          <w:szCs w:val="22"/>
        </w:rPr>
      </w:pPr>
      <w:r>
        <w:rPr>
          <w:rFonts w:ascii="Arial" w:hAnsi="Arial" w:cs="Arial"/>
          <w:sz w:val="22"/>
          <w:szCs w:val="22"/>
        </w:rPr>
        <w:t xml:space="preserve">Jei eismo juostų skaičiaus nepavyksta išlaikyti kaip esamoje situacijoje, kelio ruožuose kurių VMPEI yra 6000 iki 12000 aut. per parą, pateikiama ataskaita kurioje: </w:t>
      </w:r>
    </w:p>
    <w:p w14:paraId="64466418">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pateikiama eismo srautų analizė statybos darbų zonoje, nustatomas paros eismo intensyvumas, srautų pasiskirstymas, modalinis pasiskirstymas (lengvieji automobiliai, krovininis transportas, dviratininkai ir pėstieji); </w:t>
      </w:r>
    </w:p>
    <w:p w14:paraId="64466419">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alternatyvos dėl galimų apylankų ir transporto srautų pasiskirstymo, įvertinant apylankų tinkamumą ir jų apkrovimą. Tinkamumo analizėje pateikti galimų apylankų fotofiksaciją;</w:t>
      </w:r>
    </w:p>
    <w:p w14:paraId="6446641A">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esant būtinybei apylankas numatyti vietinės reikšmės keliais ir gatvėmis, privaloma gauti savivaldybės administracijos suderinimą; </w:t>
      </w:r>
    </w:p>
    <w:p w14:paraId="6446641B">
      <w:pPr>
        <w:numPr>
          <w:ilvl w:val="0"/>
          <w:numId w:val="47"/>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 xml:space="preserve">pateikiamos darbų rangovo siūlomos alternatyvos. </w:t>
      </w:r>
    </w:p>
    <w:p w14:paraId="64466423">
      <w:pPr>
        <w:suppressAutoHyphens/>
        <w:spacing w:after="120" w:line="259" w:lineRule="auto"/>
        <w:ind w:left="1276"/>
        <w:contextualSpacing/>
        <w:jc w:val="left"/>
        <w:rPr>
          <w:rFonts w:ascii="Arial" w:hAnsi="Arial" w:cs="Arial"/>
          <w:sz w:val="22"/>
          <w:szCs w:val="22"/>
        </w:rPr>
      </w:pPr>
    </w:p>
    <w:p w14:paraId="64466424">
      <w:pPr>
        <w:spacing/>
        <w:ind w:left="567"/>
        <w:rPr>
          <w:rFonts w:ascii="Arial" w:hAnsi="Arial" w:cs="Arial"/>
          <w:sz w:val="22"/>
          <w:szCs w:val="22"/>
        </w:rPr>
      </w:pPr>
      <w:r>
        <w:rPr>
          <w:rFonts w:ascii="Arial" w:hAnsi="Arial" w:cs="Arial"/>
          <w:sz w:val="22"/>
          <w:szCs w:val="22"/>
        </w:rPr>
        <w:t xml:space="preserve">Jei eismą numatoma organizuoti apylanka, Teikėjas turi įvertinti jos būklę ir pateikti Užsakovui pagrindžiančius dokumentus, kad numatoma apylanka užtikrins nukreipto eismo pralaidumą ir saugias eismo sąlygas.</w:t>
      </w:r>
    </w:p>
    <w:p w14:paraId="64466425">
      <w:pPr>
        <w:spacing/>
        <w:ind w:left="567"/>
        <w:rPr>
          <w:rFonts w:ascii="Arial" w:hAnsi="Arial" w:cs="Arial"/>
          <w:sz w:val="22"/>
          <w:szCs w:val="22"/>
        </w:rPr>
      </w:pPr>
      <w:r>
        <w:rPr>
          <w:rFonts w:ascii="Arial" w:hAnsi="Arial" w:cs="Arial"/>
          <w:sz w:val="22"/>
          <w:szCs w:val="22"/>
        </w:rPr>
        <w:t xml:space="preserve">Reikalavimai eismo reguliavimo įrangai darbų metu:</w:t>
      </w:r>
    </w:p>
    <w:p w14:paraId="64466426">
      <w:pPr>
        <w:numPr>
          <w:ilvl w:val="0"/>
          <w:numId w:val="25"/>
        </w:numPr>
        <w:spacing w:after="160" w:line="259" w:lineRule="auto"/>
        <w:contextualSpacing/>
        <w:jc w:val="left"/>
        <w:rPr>
          <w:rFonts w:ascii="Arial" w:hAnsi="Arial" w:cs="Arial"/>
          <w:sz w:val="22"/>
          <w:szCs w:val="22"/>
        </w:rPr>
      </w:pPr>
      <w:r>
        <w:rPr>
          <w:rFonts w:ascii="Arial" w:hAnsi="Arial" w:cs="Arial"/>
          <w:sz w:val="22"/>
          <w:szCs w:val="22"/>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p>
    <w:p w14:paraId="64466427">
      <w:pPr>
        <w:numPr>
          <w:ilvl w:val="0"/>
          <w:numId w:val="25"/>
        </w:numPr>
        <w:spacing w:after="160" w:line="259" w:lineRule="auto"/>
        <w:contextualSpacing/>
        <w:jc w:val="left"/>
        <w:rPr>
          <w:rFonts w:ascii="Arial" w:hAnsi="Arial" w:cs="Arial"/>
          <w:sz w:val="22"/>
          <w:szCs w:val="22"/>
        </w:rPr>
      </w:pPr>
      <w:r>
        <w:rPr>
          <w:rFonts w:ascii="Arial" w:hAnsi="Arial" w:cs="Arial"/>
          <w:sz w:val="22"/>
          <w:szCs w:val="22"/>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p>
    <w:p w14:paraId="64466428">
      <w:pPr>
        <w:numPr>
          <w:ilvl w:val="0"/>
          <w:numId w:val="25"/>
        </w:numPr>
        <w:spacing w:after="160" w:line="259" w:lineRule="auto"/>
        <w:contextualSpacing/>
        <w:jc w:val="left"/>
        <w:rPr>
          <w:rFonts w:ascii="Arial" w:hAnsi="Arial" w:cs="Arial"/>
          <w:sz w:val="22"/>
          <w:szCs w:val="22"/>
        </w:rPr>
      </w:pPr>
      <w:r>
        <w:rPr>
          <w:rFonts w:ascii="Arial" w:hAnsi="Arial" w:cs="Arial"/>
          <w:sz w:val="22"/>
          <w:szCs w:val="22"/>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p>
    <w:p w14:paraId="64466429">
      <w:pPr>
        <w:numPr>
          <w:ilvl w:val="0"/>
          <w:numId w:val="25"/>
        </w:numPr>
        <w:spacing w:after="160" w:line="259" w:lineRule="auto"/>
        <w:contextualSpacing/>
        <w:jc w:val="left"/>
        <w:rPr>
          <w:rFonts w:ascii="Arial" w:hAnsi="Arial" w:cs="Arial"/>
          <w:sz w:val="22"/>
          <w:szCs w:val="22"/>
        </w:rPr>
      </w:pPr>
      <w:r>
        <w:rPr>
          <w:rFonts w:ascii="Arial" w:hAnsi="Arial" w:cs="Arial"/>
          <w:sz w:val="22"/>
          <w:szCs w:val="22"/>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p>
    <w:p w14:paraId="6446642A">
      <w:pPr>
        <w:numPr>
          <w:ilvl w:val="0"/>
          <w:numId w:val="25"/>
        </w:numPr>
        <w:spacing w:after="160" w:line="259" w:lineRule="auto"/>
        <w:contextualSpacing/>
        <w:jc w:val="left"/>
        <w:rPr>
          <w:rFonts w:ascii="Arial" w:hAnsi="Arial" w:cs="Arial"/>
          <w:sz w:val="22"/>
          <w:szCs w:val="22"/>
        </w:rPr>
      </w:pPr>
      <w:r>
        <w:rPr>
          <w:rFonts w:ascii="Arial" w:hAnsi="Arial" w:cs="Arial"/>
          <w:sz w:val="22"/>
          <w:szCs w:val="22"/>
        </w:rPr>
        <w:t xml:space="preserve">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6446642B">
      <w:pPr>
        <w:spacing/>
        <w:ind w:left="567"/>
        <w:rPr>
          <w:rFonts w:ascii="Arial" w:hAnsi="Arial" w:cs="Arial"/>
          <w:sz w:val="22"/>
          <w:szCs w:val="22"/>
        </w:rPr>
      </w:pPr>
      <w:r>
        <w:rPr>
          <w:rFonts w:ascii="Arial" w:hAnsi="Arial" w:cs="Arial"/>
          <w:sz w:val="22"/>
          <w:szCs w:val="22"/>
        </w:rPr>
        <w:t xml:space="preserve">Visi eismo organizavimo sprendiniai turi būti suderinti su Užsakovu (teikiant dokumentus el. paštu </w:t>
      </w:r>
      <w:r>
        <w:rPr/>
        <w:fldChar w:fldCharType="begin"/>
      </w:r>
      <w:r>
        <w:rPr/>
        <w:instrText xml:space="preserve">HYPERLINK "mailto:eos@vialietuva.lt" </w:instrText>
      </w:r>
      <w:r>
        <w:rPr/>
        <w:fldChar w:fldCharType="separate"/>
      </w:r>
      <w:r>
        <w:rPr>
          <w:rStyle w:val="Hyperlink"/>
          <w:rFonts w:ascii="Arial" w:hAnsi="Arial" w:cs="Arial"/>
          <w:color w:val="auto"/>
          <w:sz w:val="22"/>
          <w:szCs w:val="22"/>
        </w:rPr>
        <w:t xml:space="preserve">eos@vialietuva.lt</w:t>
      </w:r>
      <w:r>
        <w:rPr/>
        <w:fldChar w:fldCharType="end"/>
      </w:r>
      <w:r>
        <w:rPr>
          <w:rFonts w:ascii="Arial" w:hAnsi="Arial" w:cs="Arial"/>
          <w:sz w:val="22"/>
          <w:szCs w:val="22"/>
        </w:rPr>
        <w:t xml:space="preserve">).</w:t>
      </w:r>
    </w:p>
    <w:p w14:paraId="6446642C">
      <w:pPr>
        <w:spacing/>
        <w:rPr>
          <w:rFonts w:ascii="Arial" w:hAnsi="Arial" w:cs="Arial"/>
          <w:sz w:val="22"/>
          <w:szCs w:val="22"/>
        </w:rPr>
      </w:pPr>
    </w:p>
    <w:p w14:paraId="6446642D">
      <w:pPr>
        <w:numPr>
          <w:ilvl w:val="0"/>
          <w:numId w:val="2"/>
        </w:numPr>
        <w:spacing w:before="120" w:after="120" w:line="259" w:lineRule="auto"/>
        <w:ind w:left="567" w:firstLine="0"/>
        <w:jc w:val="left"/>
        <w:rPr>
          <w:rFonts w:ascii="Arial" w:hAnsi="Arial" w:cs="Arial"/>
          <w:sz w:val="22"/>
          <w:szCs w:val="22"/>
        </w:rPr>
      </w:pPr>
      <w:r>
        <w:rPr>
          <w:rFonts w:ascii="Arial" w:hAnsi="Arial" w:cs="Arial"/>
          <w:b/>
          <w:sz w:val="22"/>
          <w:szCs w:val="22"/>
        </w:rPr>
        <w:t xml:space="preserve">REIKALAVIMAI STATYBINĖMS IR NEGRĄŽINOMOMS MEDŽIAGOMS BEI STATYBINĖMS ATLIEKOMS</w:t>
      </w:r>
    </w:p>
    <w:p w14:paraId="6446642E">
      <w:pPr>
        <w:numPr>
          <w:ilvl w:val="1"/>
          <w:numId w:val="2"/>
        </w:numPr>
        <w:spacing w:after="160" w:line="259" w:lineRule="auto"/>
        <w:ind w:left="567" w:firstLine="0"/>
        <w:contextualSpacing/>
        <w:rPr>
          <w:rFonts w:ascii="Arial" w:hAnsi="Arial" w:cs="Arial"/>
          <w:b/>
          <w:bCs/>
          <w:sz w:val="22"/>
          <w:szCs w:val="22"/>
        </w:rPr>
      </w:pPr>
      <w:r>
        <w:rPr>
          <w:rFonts w:ascii="Arial" w:hAnsi="Arial" w:cs="Arial"/>
          <w:b/>
          <w:bCs/>
          <w:sz w:val="22"/>
          <w:szCs w:val="22"/>
        </w:rPr>
        <w:t xml:space="preserve">Statybinės medžiagos</w:t>
      </w:r>
    </w:p>
    <w:p w14:paraId="6446642F">
      <w:pPr>
        <w:spacing/>
        <w:ind w:left="567"/>
        <w:rPr>
          <w:rFonts w:ascii="Arial" w:hAnsi="Arial" w:cs="Arial"/>
          <w:sz w:val="22"/>
          <w:szCs w:val="22"/>
        </w:rPr>
      </w:pPr>
      <w:r>
        <w:rPr>
          <w:rFonts w:ascii="Arial" w:hAnsi="Arial" w:cs="Arial"/>
          <w:sz w:val="22"/>
          <w:szCs w:val="22"/>
        </w:rPr>
        <w:t xml:space="preserve">Projektavimo metu turi būti nurodoma, kad vykdant valstybinės reikšmės kelių rekonstravimo/remonto darbus: </w:t>
      </w:r>
    </w:p>
    <w:p w14:paraId="64466430">
      <w:pPr>
        <w:numPr>
          <w:ilvl w:val="0"/>
          <w:numId w:val="56"/>
        </w:numPr>
        <w:spacing w:after="160" w:line="259" w:lineRule="auto"/>
        <w:ind w:left="1276" w:hanging="425"/>
        <w:contextualSpacing/>
        <w:rPr>
          <w:rFonts w:ascii="Arial" w:hAnsi="Arial" w:cs="Arial"/>
          <w:sz w:val="22"/>
          <w:szCs w:val="22"/>
        </w:rPr>
      </w:pPr>
      <w:r>
        <w:rPr>
          <w:rFonts w:ascii="Arial" w:hAnsi="Arial" w:cs="Arial"/>
          <w:sz w:val="22"/>
          <w:szCs w:val="22"/>
        </w:rPr>
        <w:t xml:space="preserve">darbų metu nuardyti kelio elementai (toliau – medžiagos), įvertinus jų būklę, turi būti maksimaliai panaudojami pakartotinai tame pačiame projekte;</w:t>
      </w:r>
    </w:p>
    <w:p w14:paraId="64466431">
      <w:pPr>
        <w:numPr>
          <w:ilvl w:val="0"/>
          <w:numId w:val="56"/>
        </w:numPr>
        <w:spacing w:before="120" w:after="160" w:line="259" w:lineRule="auto"/>
        <w:ind w:left="1276" w:hanging="425"/>
        <w:contextualSpacing/>
        <w:rPr>
          <w:rFonts w:ascii="Arial" w:hAnsi="Arial" w:cs="Arial"/>
          <w:sz w:val="22"/>
          <w:szCs w:val="22"/>
        </w:rPr>
      </w:pPr>
      <w:r>
        <w:rPr>
          <w:rFonts w:ascii="Arial" w:hAnsi="Arial" w:cs="Arial"/>
          <w:sz w:val="22"/>
          <w:szCs w:val="22"/>
        </w:rPr>
        <w:t xml:space="preserve">susidarančios medžiagos, kurios nenaudojamos projekte ir nėra priskiriamos negražinamoms medžiagoms transportuojamos į Užsakovo nurodytas sandėliavimo vietą (-as), parenkant artimiausią atstumą:</w:t>
      </w:r>
    </w:p>
    <w:p w14:paraId="64466432">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Ukmergės kelių tarnybos Širvintų meistrija, Zibalų g. 55, Širvintos;</w:t>
      </w:r>
    </w:p>
    <w:p w14:paraId="64466433">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Panevėžio kelių tarnybos Panevėžio meistrijos Karsakiškio gamybinė bazė, Kakūnų k., Karsakiškio sen., Panevėžio r.;</w:t>
      </w:r>
    </w:p>
    <w:p w14:paraId="64466434">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Kretingos kelių tarnybos Plungės meistrija, Stoties g. 11a, Plungė;</w:t>
      </w:r>
    </w:p>
    <w:p w14:paraId="64466435">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Kėdainių kelių tarnybos Kėdainių meistrija, Birutės g. 4, Kėdainiai;</w:t>
      </w:r>
    </w:p>
    <w:p w14:paraId="64466436">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Marijampolės kelių tarnybos Marijampolės meistrija, Gamyklų g. 12, Marijampolė;</w:t>
      </w:r>
    </w:p>
    <w:p w14:paraId="64466437">
      <w:pPr>
        <w:numPr>
          <w:ilvl w:val="0"/>
          <w:numId w:val="44"/>
        </w:numPr>
        <w:spacing w:before="120" w:after="160" w:line="259" w:lineRule="auto"/>
        <w:ind w:left="1985" w:hanging="284"/>
        <w:contextualSpacing/>
        <w:jc w:val="left"/>
        <w:rPr>
          <w:rFonts w:ascii="Arial" w:hAnsi="Arial" w:cs="Arial"/>
          <w:sz w:val="22"/>
          <w:szCs w:val="22"/>
        </w:rPr>
      </w:pPr>
      <w:r>
        <w:rPr>
          <w:rFonts w:ascii="Arial" w:hAnsi="Arial" w:cs="Arial"/>
          <w:sz w:val="22"/>
          <w:szCs w:val="22"/>
        </w:rPr>
        <w:t xml:space="preserve">AB „Kelių priežiūra“ Trakų kelių tarnybos Vievio meistrija, Statybininkų g. 16, Vievis.</w:t>
      </w:r>
    </w:p>
    <w:p w14:paraId="64466438">
      <w:pPr>
        <w:spacing w:before="120"/>
        <w:ind w:left="567"/>
        <w:rPr>
          <w:rFonts w:ascii="Arial" w:hAnsi="Arial" w:cs="Arial"/>
          <w:sz w:val="22"/>
          <w:szCs w:val="22"/>
        </w:rPr>
      </w:pPr>
      <w:r>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Pr>
          <w:rFonts w:ascii="Arial" w:hAnsi="Arial" w:cs="Arial"/>
          <w:sz w:val="22"/>
          <w:szCs w:val="22"/>
        </w:rPr>
        <w:t xml:space="preserve">stulpai, apsauginiai atitvarai ir jų elementai, tiltų ir viadukų turėklai, kiti metalo gaminiai, sijos, spraustasienės, pralaidos ir kt. </w:t>
      </w:r>
    </w:p>
    <w:p w14:paraId="64466439">
      <w:pPr>
        <w:spacing/>
        <w:ind w:left="567"/>
        <w:rPr>
          <w:rFonts w:ascii="Arial" w:hAnsi="Arial" w:cs="Arial"/>
          <w:sz w:val="22"/>
          <w:szCs w:val="22"/>
        </w:rPr>
      </w:pPr>
      <w:r>
        <w:rPr>
          <w:rFonts w:ascii="Arial" w:hAnsi="Arial" w:cs="Arial"/>
          <w:sz w:val="22"/>
          <w:szCs w:val="22"/>
        </w:rPr>
        <w:t xml:space="preserve">Kitos medžiagos, kurios gali būti panaudotos pakartotinai, gali būti gabenamos į sandėliavimo vietas tik suderinus su Užsakovu.</w:t>
      </w:r>
    </w:p>
    <w:p w14:paraId="6446643A">
      <w:pPr>
        <w:spacing/>
        <w:ind w:left="567"/>
        <w:rPr>
          <w:rFonts w:ascii="Arial" w:hAnsi="Arial" w:cs="Arial"/>
          <w:sz w:val="22"/>
          <w:szCs w:val="22"/>
        </w:rPr>
      </w:pPr>
      <w:r>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w:t>
      </w:r>
      <w:r>
        <w:rPr>
          <w:rFonts w:ascii="Arial" w:hAnsi="Arial" w:cs="Arial"/>
          <w:sz w:val="22"/>
          <w:szCs w:val="22"/>
        </w:rPr>
        <w:t xml:space="preserve">būti nurodytas tik perduodamas kiekis.</w:t>
      </w:r>
    </w:p>
    <w:p w14:paraId="6446643B">
      <w:pPr>
        <w:spacing/>
        <w:ind w:left="567"/>
        <w:rPr>
          <w:rFonts w:ascii="Arial" w:hAnsi="Arial" w:cs="Arial"/>
          <w:sz w:val="22"/>
          <w:szCs w:val="22"/>
        </w:rPr>
      </w:pPr>
      <w:r>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6446643C">
      <w:pPr>
        <w:numPr>
          <w:ilvl w:val="1"/>
          <w:numId w:val="2"/>
        </w:numPr>
        <w:suppressAutoHyphens/>
        <w:spacing w:line="259" w:lineRule="auto"/>
        <w:ind w:left="567" w:firstLine="0"/>
        <w:jc w:val="left"/>
        <w:rPr>
          <w:rFonts w:ascii="Arial" w:hAnsi="Arial" w:cs="Arial"/>
          <w:b/>
          <w:bCs/>
          <w:sz w:val="22"/>
          <w:szCs w:val="22"/>
        </w:rPr>
      </w:pPr>
      <w:bookmarkStart w:id="27" w:name="_Hlk191654065"/>
      <w:r>
        <w:rPr>
          <w:rFonts w:ascii="Arial" w:hAnsi="Arial" w:cs="Arial"/>
          <w:b/>
          <w:bCs/>
          <w:sz w:val="22"/>
          <w:szCs w:val="22"/>
        </w:rPr>
        <w:t xml:space="preserve">Negrąžinamos medžiagos</w:t>
      </w:r>
    </w:p>
    <w:bookmarkEnd w:id="27"/>
    <w:p w14:paraId="6446643D">
      <w:pPr>
        <w:spacing/>
        <w:ind w:left="567"/>
        <w:rPr>
          <w:rFonts w:ascii="Arial" w:hAnsi="Arial" w:cs="Arial"/>
          <w:sz w:val="22"/>
          <w:szCs w:val="22"/>
        </w:rPr>
      </w:pPr>
      <w:r>
        <w:rPr>
          <w:rFonts w:ascii="Arial" w:hAnsi="Arial" w:cs="Arial"/>
          <w:sz w:val="22"/>
          <w:szCs w:val="22"/>
        </w:rPr>
        <w:t xml:space="preserve">Projekte turi būti nurodyta, kad darbų vykdymo metu nepanaudotos frezuoto asfalto granulės, skalda, žvyras, žvyro ir skaldos mišinys, nesurištasis mineralinių medžiagų mišinys, grindinio akmenys (neužteršti gruntu), mediena yra laikomi negrąžinamomis medžiagomis. Jos sąmatoje turi būti nurodytos atskira (-</w:t>
      </w:r>
      <w:r>
        <w:rPr>
          <w:rFonts w:ascii="Arial" w:hAnsi="Arial" w:cs="Arial"/>
          <w:sz w:val="22"/>
          <w:szCs w:val="22"/>
        </w:rPr>
        <w:t xml:space="preserve">omis) eilute (- ėmis) su minuso ženklu. Šios medžiagos lieka rangovui. Pateikiami jų įkainiai:</w:t>
      </w:r>
    </w:p>
    <w:p w14:paraId="6446643E">
      <w:pPr>
        <w:numPr>
          <w:ilvl w:val="0"/>
          <w:numId w:val="56"/>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žvyro ir skaldos mišinys, nesurištasis mineralinių medžiagų mišinys – ≤ -4,00 Eur/t arba -6,00 Eur/m3 (santykis 1,5);</w:t>
      </w:r>
    </w:p>
    <w:p w14:paraId="6446643F">
      <w:pPr>
        <w:numPr>
          <w:ilvl w:val="0"/>
          <w:numId w:val="56"/>
        </w:numPr>
        <w:spacing w:after="160" w:line="259" w:lineRule="auto"/>
        <w:ind w:left="1276" w:hanging="425"/>
        <w:contextualSpacing/>
        <w:jc w:val="left"/>
        <w:rPr>
          <w:rFonts w:ascii="Arial" w:hAnsi="Arial" w:cs="Arial"/>
          <w:sz w:val="22"/>
          <w:szCs w:val="22"/>
        </w:rPr>
      </w:pPr>
      <w:r>
        <w:rPr>
          <w:rFonts w:ascii="Arial" w:hAnsi="Arial" w:eastAsiaTheme="minorHAnsi" w:cs="Arial"/>
          <w:sz w:val="22"/>
          <w:szCs w:val="22"/>
        </w:rPr>
        <w:t xml:space="preserve">skalda ≤ -5,00 Eur/t arba -7,50 Eur/m</w:t>
      </w:r>
      <w:r>
        <w:rPr>
          <w:rFonts w:ascii="Arial" w:hAnsi="Arial" w:eastAsiaTheme="minorHAnsi" w:cs="Arial"/>
          <w:sz w:val="22"/>
          <w:szCs w:val="22"/>
          <w:vertAlign w:val="superscript"/>
        </w:rPr>
        <w:t xml:space="preserve">3</w:t>
      </w:r>
      <w:r>
        <w:rPr>
          <w:rFonts w:ascii="Arial" w:hAnsi="Arial" w:eastAsiaTheme="minorHAnsi" w:cs="Arial"/>
          <w:sz w:val="22"/>
          <w:szCs w:val="22"/>
        </w:rPr>
        <w:t xml:space="preserve"> (santykis 1,5);</w:t>
      </w:r>
    </w:p>
    <w:p w14:paraId="64466440">
      <w:pPr>
        <w:numPr>
          <w:ilvl w:val="0"/>
          <w:numId w:val="56"/>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grindinio akmenys ≤ -15,00 Eur/t arba -40,50 Eur/m3 (santykis 2,7);</w:t>
      </w:r>
    </w:p>
    <w:p w14:paraId="64466441">
      <w:pPr>
        <w:numPr>
          <w:ilvl w:val="0"/>
          <w:numId w:val="56"/>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frezuoto asfalto granulės ≤ -7,00 Eur/t arba -11,20 Eur/m3 (santykis 1,6);</w:t>
      </w:r>
    </w:p>
    <w:p w14:paraId="64466442">
      <w:pPr>
        <w:numPr>
          <w:ilvl w:val="0"/>
          <w:numId w:val="56"/>
        </w:numPr>
        <w:spacing w:after="160" w:line="259" w:lineRule="auto"/>
        <w:ind w:left="1276" w:hanging="425"/>
        <w:contextualSpacing/>
        <w:jc w:val="left"/>
        <w:rPr>
          <w:rFonts w:ascii="Arial" w:hAnsi="Arial" w:cs="Arial"/>
          <w:sz w:val="22"/>
          <w:szCs w:val="22"/>
        </w:rPr>
      </w:pPr>
      <w:r>
        <w:rPr>
          <w:rFonts w:ascii="Arial" w:hAnsi="Arial" w:cs="Arial"/>
          <w:sz w:val="22"/>
          <w:szCs w:val="22"/>
        </w:rPr>
        <w:t xml:space="preserve">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64466443">
      <w:pPr>
        <w:numPr>
          <w:ilvl w:val="1"/>
          <w:numId w:val="2"/>
        </w:numPr>
        <w:suppressAutoHyphens/>
        <w:spacing w:line="259" w:lineRule="auto"/>
        <w:ind w:left="567" w:firstLine="0"/>
        <w:jc w:val="left"/>
        <w:rPr>
          <w:rFonts w:ascii="Arial" w:hAnsi="Arial" w:cs="Arial"/>
          <w:b/>
          <w:bCs/>
          <w:sz w:val="22"/>
          <w:szCs w:val="22"/>
        </w:rPr>
      </w:pPr>
      <w:r>
        <w:rPr>
          <w:rFonts w:ascii="Arial" w:hAnsi="Arial" w:cs="Arial"/>
          <w:b/>
          <w:bCs/>
          <w:sz w:val="22"/>
          <w:szCs w:val="22"/>
        </w:rPr>
        <w:t xml:space="preserve">Statybinės atliekos</w:t>
      </w:r>
    </w:p>
    <w:p w14:paraId="64466444">
      <w:pPr>
        <w:suppressAutoHyphens/>
        <w:spacing w:line="259" w:lineRule="auto"/>
        <w:ind w:left="567"/>
        <w:rPr>
          <w:rFonts w:ascii="Arial" w:hAnsi="Arial" w:cs="Arial"/>
          <w:sz w:val="22"/>
          <w:szCs w:val="22"/>
        </w:rPr>
      </w:pPr>
      <w:r>
        <w:rPr>
          <w:rFonts w:ascii="Arial" w:hAnsi="Arial" w:cs="Arial"/>
          <w:sz w:val="22"/>
          <w:szCs w:val="22"/>
        </w:rPr>
        <w:t xml:space="preserve">Visos </w:t>
      </w:r>
      <w:r>
        <w:rPr>
          <w:rFonts w:ascii="Arial" w:hAnsi="Arial" w:cs="Arial"/>
          <w:sz w:val="22"/>
          <w:szCs w:val="22"/>
        </w:rPr>
        <w:t xml:space="preserve">medžiagos, nepatenkančios į statybinių ir (ar) negrąžinamų medžiagų sąrašą ir (ar) kurių neįmanoma panaudoti antrą kartą, kaip atliekos turi būti sutvarkomos rangovo pagal galiojančius aplinkos apsaugos reikalavimus (Teikėjas privalo įsivertinti visas su tvarkymu susijusias išlaidas).</w:t>
      </w:r>
    </w:p>
    <w:p w14:paraId="64466445">
      <w:pPr>
        <w:suppressAutoHyphens/>
        <w:spacing w:line="259" w:lineRule="auto"/>
        <w:ind w:left="567"/>
        <w:rPr>
          <w:rFonts w:ascii="Arial" w:hAnsi="Arial" w:cs="Arial"/>
          <w:sz w:val="22"/>
          <w:szCs w:val="22"/>
        </w:rPr>
      </w:pPr>
      <w:r>
        <w:rPr>
          <w:rFonts w:ascii="Arial" w:hAnsi="Arial" w:cs="Arial"/>
          <w:sz w:val="22"/>
          <w:szCs w:val="22"/>
        </w:rPr>
        <w:t xml:space="preserve">Šio skyriaus informacija turi būti pateikta projektinėje dokumentacijoje, prie suvestinio darbų kiekių žiniaraščio.</w:t>
      </w:r>
    </w:p>
    <w:p w14:paraId="64466446">
      <w:pPr>
        <w:numPr>
          <w:ilvl w:val="0"/>
          <w:numId w:val="2"/>
        </w:numPr>
        <w:spacing w:before="120" w:after="120" w:line="259" w:lineRule="auto"/>
        <w:ind w:left="567" w:firstLine="0"/>
        <w:jc w:val="left"/>
        <w:rPr>
          <w:rFonts w:ascii="Arial" w:hAnsi="Arial" w:cs="Arial"/>
          <w:sz w:val="22"/>
          <w:szCs w:val="22"/>
        </w:rPr>
      </w:pPr>
      <w:bookmarkStart w:id="28" w:name="_Hlk191653314"/>
      <w:r>
        <w:rPr>
          <w:rFonts w:ascii="Arial" w:hAnsi="Arial" w:cs="Arial"/>
          <w:b/>
          <w:sz w:val="22"/>
          <w:szCs w:val="22"/>
        </w:rPr>
        <w:t xml:space="preserve">ATLIKTŲ DARBŲ TARPINIS PATIKRINIMAS</w:t>
      </w:r>
    </w:p>
    <w:bookmarkEnd w:id="28"/>
    <w:p w14:paraId="64466447">
      <w:pPr>
        <w:spacing/>
        <w:ind w:left="567"/>
        <w:contextualSpacing/>
        <w:rPr>
          <w:rFonts w:ascii="Arial" w:hAnsi="Arial" w:cs="Arial"/>
          <w:sz w:val="22"/>
          <w:szCs w:val="22"/>
        </w:rPr>
      </w:pPr>
      <w:r>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64466448">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64466449">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pateikti kitą įrodymui apie atliktus darbus reikalingą dokumentaciją ir medžiagą; </w:t>
      </w:r>
    </w:p>
    <w:p w14:paraId="6446644A">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pateikiamos dokumentacijos ir informacijos formą bei turinį suderinti su Užsakovu; </w:t>
      </w:r>
    </w:p>
    <w:p w14:paraId="6446644B">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Užsakovui pareikalavus, surengti sprendinių (atliktų darbų) pristatymą suderintu formatu, data ir laiku;</w:t>
      </w:r>
    </w:p>
    <w:p w14:paraId="6446644C">
      <w:pPr>
        <w:numPr>
          <w:ilvl w:val="0"/>
          <w:numId w:val="48"/>
        </w:numPr>
        <w:tabs>
          <w:tab w:val="left" w:pos="851"/>
        </w:tabs>
        <w:suppressAutoHyphens/>
        <w:spacing w:line="259" w:lineRule="auto"/>
        <w:ind w:left="1276" w:hanging="425"/>
        <w:rPr>
          <w:rFonts w:ascii="Arial" w:hAnsi="Arial" w:cs="Arial"/>
          <w:sz w:val="22"/>
          <w:szCs w:val="22"/>
        </w:rPr>
      </w:pPr>
      <w:r>
        <w:rPr>
          <w:rFonts w:ascii="Arial" w:hAnsi="Arial" w:cs="Arial"/>
          <w:sz w:val="22"/>
          <w:szCs w:val="22"/>
        </w:rPr>
        <w:t xml:space="preserve">teikiant Užsakovo peržiūrai ir (ar) patikrinimui projektinę dokumentaciją būtina pateikti ją ir .</w:t>
      </w:r>
      <w:r>
        <w:rPr>
          <w:rFonts w:ascii="Arial" w:hAnsi="Arial" w:cs="Arial"/>
          <w:sz w:val="22"/>
          <w:szCs w:val="22"/>
        </w:rPr>
        <w:t xml:space="preserve">dwg</w:t>
      </w:r>
      <w:r>
        <w:rPr>
          <w:rFonts w:ascii="Arial" w:hAnsi="Arial" w:cs="Arial"/>
          <w:sz w:val="22"/>
          <w:szCs w:val="22"/>
        </w:rPr>
        <w:t xml:space="preserve"> formatu.</w:t>
      </w:r>
    </w:p>
    <w:p w14:paraId="5C06C4DD">
      <w:pPr>
        <w:tabs>
          <w:tab w:val="left" w:pos="851"/>
        </w:tabs>
        <w:suppressAutoHyphens/>
        <w:spacing w:line="259" w:lineRule="auto"/>
        <w:ind w:left="1276"/>
        <w:rPr>
          <w:rFonts w:ascii="Arial" w:hAnsi="Arial" w:cs="Arial"/>
          <w:sz w:val="22"/>
          <w:szCs w:val="22"/>
        </w:rPr>
      </w:pPr>
    </w:p>
    <w:bookmarkEnd w:id="23"/>
    <w:bookmarkEnd w:id="24"/>
    <w:p w14:paraId="6446644D">
      <w:pPr>
        <w:numPr>
          <w:ilvl w:val="0"/>
          <w:numId w:val="2"/>
        </w:numPr>
        <w:suppressAutoHyphens/>
        <w:spacing w:before="120" w:after="120" w:line="259" w:lineRule="auto"/>
        <w:ind w:left="567" w:firstLine="0"/>
        <w:rPr>
          <w:rFonts w:ascii="Arial" w:hAnsi="Arial" w:cs="Arial"/>
          <w:i/>
          <w:iCs/>
          <w:sz w:val="22"/>
          <w:szCs w:val="22"/>
        </w:rPr>
      </w:pPr>
      <w:r>
        <w:rPr>
          <w:rFonts w:ascii="Arial" w:hAnsi="Arial" w:cs="Arial"/>
          <w:b/>
          <w:sz w:val="22"/>
          <w:szCs w:val="22"/>
        </w:rPr>
        <w:t xml:space="preserve">PROJEKTO VYKDYMO PRIEŽIŪRA</w:t>
      </w:r>
    </w:p>
    <w:p w14:paraId="6446644E">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Užsakovas įsipareigoja informuoti Teikėją apie rangos darbų pagal Projektą sutarties pasirašymą ne vėliau kaip per 10 (dešimt) darbo dienų po minėtos sutarties pasirašymo. Teikėjas įsipareigoja ne vėliau </w:t>
      </w:r>
      <w:r>
        <w:rPr>
          <w:rFonts w:ascii="Arial" w:hAnsi="Arial" w:cs="Arial"/>
          <w:sz w:val="22"/>
          <w:szCs w:val="22"/>
          <w:lang w:eastAsia="lt-LT"/>
        </w:rPr>
        <w:t xml:space="preserve">kaip per 14 (keturiolika) dienų nuo pranešimo gavimo pateikti Užsakovui statinio projektuotojo įsakymą dėl projekto vykdymo priežiūros vadovo (grupės) paskyrimo (grupės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p>
    <w:p w14:paraId="6446644F">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Parengto Projekto vykdymo priežiūra atliekama vadovaujantis Lietuvos Respublikos statybos įstatymu, statybos techniniais reglamentais STR 1.06.01:2016 „Statybos darbai. Statinio statybos priežiūra“ ir STR 1.04.04:2017 „Statinio projektavimas, projekto ekspertizė“.</w:t>
      </w:r>
    </w:p>
    <w:p w14:paraId="64466450">
      <w:pPr>
        <w:numPr>
          <w:ilvl w:val="1"/>
          <w:numId w:val="2"/>
        </w:numPr>
        <w:suppressAutoHyphens/>
        <w:spacing w:line="259" w:lineRule="auto"/>
        <w:ind w:left="567"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 rengiamuose susirinkimuose. Esant poreikiui, Teikėjas</w:t>
      </w:r>
      <w:r>
        <w:rPr>
          <w:rFonts w:ascii="Arial" w:hAnsi="Arial" w:cs="Arial"/>
          <w:sz w:val="22"/>
          <w:szCs w:val="22"/>
          <w:lang w:eastAsia="lt-LT"/>
        </w:rPr>
        <w:t xml:space="preserve"> gali inicijuoti Projekto statybos dalyvių susirinkimą, per protingą terminą informuodamas kitus statybos dalyvius.</w:t>
      </w:r>
    </w:p>
    <w:p w14:paraId="64466451">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kaip per 5 (penkias) darbo dienas nuo tokio paklausimo gavimo dienos.</w:t>
      </w:r>
    </w:p>
    <w:p w14:paraId="64466452">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p>
    <w:p w14:paraId="64466453">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lang w:eastAsia="lt-LT"/>
        </w:rPr>
        <w:t xml:space="preserve">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w:t>
      </w:r>
      <w:r>
        <w:rPr>
          <w:rFonts w:ascii="Arial" w:hAnsi="Arial" w:cs="Arial"/>
          <w:sz w:val="22"/>
          <w:szCs w:val="22"/>
          <w:lang w:eastAsia="lt-LT"/>
        </w:rPr>
        <w:t xml:space="preserve">(ar)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64466454">
      <w:pPr>
        <w:pStyle w:val="ListParagraph"/>
        <w:numPr>
          <w:ilvl w:val="1"/>
          <w:numId w:val="2"/>
        </w:numPr>
        <w:spacing/>
        <w:ind w:left="567" w:firstLine="0"/>
        <w:jc w:val="both"/>
        <w:rPr>
          <w:rFonts w:ascii="Arial" w:hAnsi="Arial" w:eastAsia="Times New Roman" w:cs="Arial"/>
          <w:sz w:val="22"/>
        </w:rPr>
      </w:pPr>
      <w:r>
        <w:rPr>
          <w:rFonts w:ascii="Arial" w:hAnsi="Arial" w:eastAsia="Times New Roman" w:cs="Arial"/>
          <w:sz w:val="22"/>
        </w:rPr>
        <w:t xml:space="preserve">Statybos darbų vykdymo metu atsiradus būtinybei keisti </w:t>
      </w:r>
      <w:r>
        <w:rPr>
          <w:rFonts w:ascii="Arial" w:hAnsi="Arial" w:eastAsia="Times New Roman" w:cs="Arial"/>
          <w:b/>
          <w:bCs/>
          <w:sz w:val="22"/>
        </w:rPr>
        <w:t xml:space="preserve">neesminius</w:t>
      </w:r>
      <w:r>
        <w:rPr>
          <w:rFonts w:ascii="Arial" w:hAnsi="Arial" w:eastAsia="Times New Roman"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Pr>
          <w:rFonts w:ascii="Arial" w:hAnsi="Arial" w:eastAsia="Times New Roman" w:cs="Arial"/>
          <w:b/>
          <w:bCs/>
          <w:sz w:val="22"/>
        </w:rPr>
        <w:t xml:space="preserve">esminiai</w:t>
      </w:r>
      <w:r>
        <w:rPr>
          <w:rFonts w:ascii="Arial" w:hAnsi="Arial" w:eastAsia="Times New Roman" w:cs="Arial"/>
          <w:sz w:val="22"/>
        </w:rPr>
        <w:t xml:space="preserve"> projekto sprendiniai, keitimai atliekami vadovaujantis reglamento </w:t>
      </w:r>
      <w:r>
        <w:rPr>
          <w:rFonts w:ascii="Arial" w:hAnsi="Arial" w:cs="Arial"/>
          <w:sz w:val="22"/>
          <w:lang w:eastAsia="lt-LT"/>
        </w:rPr>
        <w:t xml:space="preserve">STR 1.04.04:2017 „Statinio projektavimas, projekto ekspertizė“ </w:t>
      </w:r>
      <w:r>
        <w:rPr>
          <w:rFonts w:ascii="Arial" w:hAnsi="Arial" w:eastAsia="Times New Roman" w:cs="Arial"/>
          <w:sz w:val="22"/>
        </w:rPr>
        <w:t xml:space="preserve">43 punkte nustatyta tvarka ir </w:t>
      </w:r>
      <w:r>
        <w:rPr>
          <w:rFonts w:ascii="Arial" w:hAnsi="Arial" w:cs="Arial"/>
          <w:sz w:val="22"/>
        </w:rPr>
        <w:t xml:space="preserve">vadovauja</w:t>
      </w:r>
      <w:r>
        <w:rPr>
          <w:rFonts w:ascii="Arial" w:hAnsi="Arial" w:cs="Arial"/>
          <w:sz w:val="22"/>
        </w:rPr>
        <w:t xml:space="preserve">ntis pridedamomis naujų projekto laidų parengimo gairėmis (Priedas Nr.6).</w:t>
      </w:r>
    </w:p>
    <w:p w14:paraId="64466455">
      <w:pPr>
        <w:numPr>
          <w:ilvl w:val="1"/>
          <w:numId w:val="2"/>
        </w:numPr>
        <w:suppressAutoHyphens/>
        <w:spacing w:line="259" w:lineRule="auto"/>
        <w:ind w:left="555" w:firstLine="0"/>
        <w:textAlignment w:val="baseline"/>
        <w:rPr>
          <w:rFonts w:ascii="Arial" w:hAnsi="Arial" w:cs="Arial"/>
          <w:i/>
          <w:iCs/>
          <w:sz w:val="22"/>
          <w:szCs w:val="22"/>
          <w:lang w:eastAsia="lt-LT"/>
        </w:rPr>
      </w:pPr>
      <w:r>
        <w:rPr>
          <w:rFonts w:ascii="Arial" w:hAnsi="Arial" w:cs="Arial"/>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projekto vykdymo priežiūros metu ir rangovo pateiktą išpi</w:t>
      </w:r>
      <w:r>
        <w:rPr>
          <w:rFonts w:ascii="Arial" w:hAnsi="Arial" w:cs="Arial"/>
          <w:sz w:val="22"/>
          <w:szCs w:val="22"/>
          <w:lang w:eastAsia="lt-LT"/>
        </w:rPr>
        <w:t xml:space="preserve">ldomąją dokumentaciją,</w:t>
      </w:r>
      <w:r>
        <w:rPr>
          <w:rFonts w:ascii="Arial" w:hAnsi="Arial" w:cs="Arial"/>
          <w:sz w:val="22"/>
          <w:szCs w:val="22"/>
        </w:rPr>
        <w:t xml:space="preserve"> vadovaujantis naujų projekto laidų parengimo gairėmis (Priedas Nr.6).</w:t>
      </w:r>
      <w:r>
        <w:rPr>
          <w:rFonts w:ascii="Arial" w:hAnsi="Arial" w:cs="Arial"/>
          <w:sz w:val="22"/>
          <w:szCs w:val="22"/>
          <w:lang w:eastAsia="lt-LT"/>
        </w:rPr>
        <w:t xml:space="preserve">  Projektas turi būti pateiktas 1 (viena) kopija skaitmenine forma (kompaktiniame diske ar universaliame skaitmeniniame (optiniame) diske). T</w:t>
      </w:r>
      <w:r>
        <w:rPr>
          <w:rFonts w:ascii="Arial" w:hAnsi="Arial" w:cs="Arial"/>
          <w:sz w:val="22"/>
          <w:szCs w:val="22"/>
        </w:rPr>
        <w:t xml:space="preserve">ekstinius dokumentus *.doc, *.pdf ir brėžinius *.pdf, *.dwg formatu (su elektroniniais parašais)) perduoti (Užsakovui). Kiekvienas atskiras dokumentas, pateikiamas skaitmenine forma, turi turėti konkretų dokumento paskirtį ir esmę atitinkantį pavadinimą. Statinio projekto dokume</w:t>
      </w:r>
      <w:r>
        <w:rPr>
          <w:rFonts w:ascii="Arial" w:hAnsi="Arial" w:cs="Arial"/>
          <w:sz w:val="22"/>
          <w:szCs w:val="22"/>
        </w:rPr>
        <w:t xml:space="preserve">ntai turi būti įforminti vadovaujantis LST 1516. Šiame punkte nurodytas įsipareigojimas taip pat apima ir pakeitimus, atliktus po Kelių saugumo audito atlikimo prieš pradedant eksploatuoti statybos objektą.</w:t>
      </w:r>
    </w:p>
    <w:p w14:paraId="64466456">
      <w:pPr>
        <w:numPr>
          <w:ilvl w:val="1"/>
          <w:numId w:val="2"/>
        </w:numPr>
        <w:suppressAutoHyphens/>
        <w:spacing w:line="259" w:lineRule="auto"/>
        <w:ind w:left="567" w:firstLine="0"/>
        <w:rPr>
          <w:rFonts w:ascii="Arial" w:hAnsi="Arial" w:cs="Arial"/>
          <w:i/>
          <w:iCs/>
          <w:sz w:val="22"/>
          <w:szCs w:val="22"/>
        </w:rPr>
      </w:pPr>
      <w:r>
        <w:rPr>
          <w:rFonts w:ascii="Arial" w:hAnsi="Arial" w:cs="Arial"/>
          <w:sz w:val="22"/>
          <w:szCs w:val="22"/>
        </w:rPr>
        <w:t xml:space="preserve">Esant būtinybei iki statybos užbaigimo procedūros dienos (iki statybos užbaigimo akto arba deklaracijos apie statybos užbaigimą pasirašymo dienos) užtikrinti išduotų techninių (techninių </w:t>
      </w:r>
      <w:r>
        <w:rPr>
          <w:rFonts w:ascii="Arial" w:hAnsi="Arial" w:cs="Arial"/>
          <w:sz w:val="22"/>
          <w:szCs w:val="22"/>
        </w:rPr>
        <w:t xml:space="preserve">reikalavimų), prisijungimo sąlygų, pritarimų galiojimą. Pagal poreikį organizuoti jų pratęsimą. Apmokėti įmokas, kai už jų išdavimą/pratęsimą taikomas mokestis.</w:t>
      </w:r>
    </w:p>
    <w:p w14:paraId="64466457">
      <w:pPr>
        <w:suppressAutoHyphens/>
        <w:spacing w:line="259" w:lineRule="auto"/>
        <w:rPr>
          <w:rFonts w:ascii="Arial" w:hAnsi="Arial" w:cs="Arial"/>
          <w:i/>
          <w:iCs/>
          <w:sz w:val="22"/>
          <w:szCs w:val="22"/>
        </w:rPr>
      </w:pPr>
    </w:p>
    <w:sectPr>
      <w:headerReference w:type="first" r:id="rId1"/>
      <w:headerReference w:type="default" r:id="rId2"/>
      <w:type w:val="nextPage"/>
      <w:pgSz w:w="11906" w:h="16838"/>
      <w:pgMar w:top="1701" w:right="567" w:bottom="993" w:left="567" w:header="567" w:footer="567" w:gutter="0"/>
      <w:pgBorders/>
      <w:pgNumType w:fmt="decimal"/>
      <w:cols w:num="1" w:equalWidth="1"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charset w:val="186"/>
    <w:family w:val="modern"/>
    <w:pitch w:val="fixed"/>
    <w:sig w:usb0="E0002EFF" w:usb1="C0007843" w:usb2="00000009" w:usb3="00000000" w:csb0="000001FF" w:csb1="00000000"/>
  </w:font>
  <w:font w:name="Times New Roman">
    <w:charset w:val="186"/>
    <w:family w:val="roman"/>
    <w:pitch w:val="variable"/>
    <w:sig w:usb0="E0002EFF" w:usb1="C000785B" w:usb2="00000009" w:usb3="00000000" w:csb0="000001FF" w:csb1="00000000"/>
  </w:font>
  <w:font w:name="Arial">
    <w:charset w:val="186"/>
    <w:family w:val="swiss"/>
    <w:pitch w:val="variable"/>
    <w:sig w:usb0="E0002EFF" w:usb1="C000785B" w:usb2="00000009" w:usb3="00000000" w:csb0="000001FF" w:csb1="00000000"/>
  </w:font>
  <w:font w:name="SimSun">
    <w:altName w:val="宋体"/>
    <w:charset w:val="86"/>
    <w:family w:val="auto"/>
    <w:pitch w:val="variable"/>
    <w:sig w:usb0="00000203" w:usb1="288F0000" w:usb2="00000016" w:usb3="00000000" w:csb0="00040001"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Calibri">
    <w:charset w:val="186"/>
    <w:family w:val="swiss"/>
    <w:pitch w:val="variable"/>
    <w:sig w:usb0="E4002EFF" w:usb1="C200247B" w:usb2="00000009" w:usb3="00000000" w:csb0="000001FF" w:csb1="00000000"/>
  </w:font>
  <w:font w:name="Arial Narrow">
    <w:charset w:val="186"/>
    <w:family w:val="swiss"/>
    <w:pitch w:val="variable"/>
    <w:sig w:usb0="00000287" w:usb1="00000800" w:usb2="00000000" w:usb3="00000000" w:csb0="0000009F" w:csb1="00000000"/>
  </w:font>
  <w:font w:name="Calibri Light">
    <w:charset w:val="186"/>
    <w:family w:val="swiss"/>
    <w:pitch w:val="variable"/>
    <w:sig w:usb0="E4002EFF" w:usb1="C200247B" w:usb2="00000009" w:usb3="00000000" w:csb0="000001FF" w:csb1="00000000"/>
  </w:font>
  <w:font w:name="Segoe UI">
    <w:charset w:val="186"/>
    <w:family w:val="swiss"/>
    <w:pitch w:val="variable"/>
    <w:sig w:usb0="E4002EFF" w:usb1="C000E47F" w:usb2="00000009" w:usb3="00000000" w:csb0="000001FF" w:csb1="00000000"/>
  </w:font>
  <w:font w:name="Aptos">
    <w:charset w:val="0"/>
    <w:family w:val="swiss"/>
    <w:pitch w:val="variable"/>
    <w:sig w:usb0="20000287" w:usb1="00000003" w:usb2="00000000" w:usb3="00000000" w:csb0="0000019F" w:csb1="00000000"/>
  </w:font>
</w:font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64466465">
    <w:pPr>
      <w:pStyle w:val="Header"/>
      <w:spacing/>
      <w:rPr/>
    </w:pPr>
  </w:p>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310"/>
      <w:gridCol w:w="1560"/>
    </w:tblGrid>
    <w:tr>
      <w:trPr/>
      <w:tc>
        <w:tcPr>
          <w:tcW w:type="dxa" w:w="2757"/>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1"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3"/>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310"/>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specifikacijA</w:t>
          </w:r>
        </w:p>
      </w:tc>
      <w:tc>
        <w:tcPr>
          <w:tcW w:type="dxa" w:w="1560"/>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1</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275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310"/>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60"/>
          <w:tcBorders/>
        </w:tcPr>
        <w:p>
          <w:pPr>
            <w:tabs>
              <w:tab w:val="center" w:pos="4819"/>
              <w:tab w:val="right" w:pos="9638"/>
            </w:tabs>
            <w:spacing/>
            <w:jc w:val="left"/>
            <w:rPr>
              <w:rFonts w:ascii="Arial Narrow" w:hAnsi="Arial Narrow" w:eastAsiaTheme="minorHAnsi" w:cstheme="minorBidi"/>
              <w:sz w:val="20"/>
              <w:szCs w:val="22"/>
            </w:rPr>
          </w:pPr>
        </w:p>
      </w:tc>
    </w:tr>
  </w:tbl>
  <w:p w14:paraId="64466472">
    <w:pPr>
      <w:pStyle w:val="Header"/>
      <w:spacing/>
      <w:rP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tbl>
    <w:tblPr>
      <w:tblStyle w:val="TableGrid"/>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767"/>
      <w:gridCol w:w="6237"/>
      <w:gridCol w:w="1553"/>
    </w:tblGrid>
    <w:tr>
      <w:trPr/>
      <w:tc>
        <w:tcPr>
          <w:tcW w:type="dxa" w:w="1838"/>
          <w:vMerge w:val="restart"/>
          <w:tcBorders/>
          <w:vAlign w:val="center"/>
        </w:tcPr>
        <w:p>
          <w:pPr>
            <w:tabs>
              <w:tab w:val="center" w:pos="4819"/>
              <w:tab w:val="right" w:pos="9638"/>
            </w:tabs>
            <w:spacing/>
            <w:jc w:val="center"/>
            <w:rPr>
              <w:rFonts w:ascii="Arial Narrow" w:hAnsi="Arial Narrow" w:eastAsiaTheme="minorHAnsi" w:cstheme="minorBidi"/>
              <w:sz w:val="20"/>
              <w:szCs w:val="22"/>
            </w:rPr>
          </w:pPr>
          <w:r>
            <w:rPr>
              <w:rFonts w:ascii="Arial Narrow" w:hAnsi="Arial Narrow" w:eastAsiaTheme="minorHAnsi" w:cstheme="minorBidi"/>
              <w:noProof/>
              <w:sz w:val="20"/>
              <w:szCs w:val="22"/>
            </w:rPr>
            <w:drawing>
              <wp:inline>
                <wp:extent cx="1613640" cy="206023"/>
                <wp:effectExtent xmlns:wp="http://schemas.openxmlformats.org/drawingml/2006/wordprocessingDrawing" l="0" t="0" r="0" b="0"/>
                <wp:docPr id="2" descr="Via Lietuva Logo - Skaidrus Juodas.png" name="officeArt object"/>
                <a:graphic>
                  <a:graphicData uri="http://schemas.openxmlformats.org/drawingml/2006/picture">
                    <pic:pic>
                      <pic:nvPicPr>
                        <pic:cNvPr id="0" name="" descr=""/>
                        <pic:cNvPicPr>
                          <a:picLocks noChangeAspect="1" noChangeArrowheads="1"/>
                        </pic:cNvPicPr>
                      </pic:nvPicPr>
                      <pic:blipFill>
                        <a:blip r:embed="rId4"/>
                        <a:srcRect/>
                        <a:stretch>
                          <a:fillRect/>
                        </a:stretch>
                      </pic:blipFill>
                      <pic:spPr bwMode="auto">
                        <a:xfrm>
                          <a:off x="0" y="0"/>
                          <a:ext cx="1613640" cy="206023"/>
                        </a:xfrm>
                        <a:prstGeom prst="rect">
                          <a:avLst/>
                        </a:prstGeom>
                        <a:effectLst xmlns:a="http://schemas.openxmlformats.org/drawingml/2006/main"/>
                      </pic:spPr>
                    </pic:pic>
                  </a:graphicData>
                </a:graphic>
              </wp:inline>
            </w:drawing>
          </w:r>
        </w:p>
      </w:tc>
      <w:tc>
        <w:tcPr>
          <w:tcW w:type="dxa" w:w="6237"/>
          <w:vMerge w:val="restart"/>
          <w:tcBorders/>
          <w:vAlign w:val="center"/>
        </w:tcPr>
        <w:p>
          <w:pPr>
            <w:tabs>
              <w:tab w:val="center" w:pos="4819"/>
              <w:tab w:val="right" w:pos="9638"/>
            </w:tabs>
            <w:spacing/>
            <w:jc w:val="center"/>
            <w:rPr>
              <w:rFonts w:ascii="Arial Narrow" w:hAnsi="Arial Narrow" w:eastAsiaTheme="minorHAnsi" w:cstheme="minorBidi"/>
              <w:b/>
              <w:bCs/>
              <w:sz w:val="20"/>
              <w:szCs w:val="22"/>
            </w:rPr>
          </w:pPr>
          <w:r>
            <w:rPr>
              <w:rFonts w:ascii="Arial Narrow" w:hAnsi="Arial Narrow" w:eastAsiaTheme="minorHAnsi" w:cstheme="minorBidi"/>
              <w:b/>
              <w:caps/>
              <w:szCs w:val="28"/>
            </w:rPr>
            <w:t xml:space="preserve">Techninė specifikacijA</w:t>
          </w:r>
        </w:p>
      </w:tc>
      <w:tc>
        <w:tcPr>
          <w:tcW w:type="dxa" w:w="1553"/>
          <w:tcBorders/>
        </w:tcPr>
        <w:p>
          <w:pPr>
            <w:tabs>
              <w:tab w:val="center" w:pos="4819"/>
              <w:tab w:val="right" w:pos="9638"/>
            </w:tabs>
            <w:spacing/>
            <w:jc w:val="left"/>
            <w:rPr>
              <w:rFonts w:ascii="Arial Narrow" w:hAnsi="Arial Narrow" w:eastAsiaTheme="minorHAnsi" w:cstheme="minorBidi"/>
              <w:sz w:val="20"/>
              <w:szCs w:val="22"/>
              <w:lang w:val="en-US"/>
            </w:rPr>
          </w:pP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r>
            <w:rPr>
              <w:rFonts w:ascii="Arial Narrow" w:hAnsi="Arial Narrow" w:eastAsiaTheme="minorHAnsi" w:cstheme="minorBidi"/>
              <w:sz w:val="20"/>
              <w:szCs w:val="22"/>
            </w:rPr>
            <w:t xml:space="preserve">Puslapis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PAGE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r>
            <w:rPr>
              <w:rFonts w:ascii="Arial Narrow" w:hAnsi="Arial Narrow" w:eastAsiaTheme="minorHAnsi" w:cstheme="minorBidi"/>
              <w:sz w:val="20"/>
              <w:szCs w:val="22"/>
            </w:rPr>
            <w:t xml:space="preserve"> iš </w:t>
          </w:r>
          <w:r>
            <w:rPr>
              <w:rFonts w:ascii="Arial Narrow" w:hAnsi="Arial Narrow" w:eastAsiaTheme="minorHAnsi" w:cstheme="minorBidi"/>
              <w:b/>
              <w:bCs/>
              <w:sz w:val="20"/>
              <w:szCs w:val="22"/>
            </w:rPr>
            <w:fldChar w:fldCharType="begin"/>
          </w:r>
          <w:r>
            <w:rPr>
              <w:rFonts w:ascii="Arial Narrow" w:hAnsi="Arial Narrow" w:eastAsiaTheme="minorHAnsi" w:cstheme="minorBidi"/>
              <w:b/>
              <w:bCs/>
              <w:sz w:val="20"/>
              <w:szCs w:val="22"/>
            </w:rPr>
            <w:instrText xml:space="preserve">NUMPAGES  \* Arabic  \* MERGEFORMAT</w:instrText>
          </w:r>
          <w:r>
            <w:rPr>
              <w:rFonts w:ascii="Arial Narrow" w:hAnsi="Arial Narrow" w:eastAsiaTheme="minorHAnsi" w:cstheme="minorBidi"/>
              <w:b/>
              <w:bCs/>
              <w:sz w:val="20"/>
              <w:szCs w:val="22"/>
            </w:rPr>
            <w:fldChar w:fldCharType="separate"/>
          </w:r>
          <w:r>
            <w:rPr>
              <w:rFonts w:ascii="Arial Narrow" w:hAnsi="Arial Narrow" w:eastAsiaTheme="minorHAnsi" w:cstheme="minorBidi"/>
              <w:b/>
              <w:bCs/>
              <w:sz w:val="20"/>
              <w:szCs w:val="22"/>
            </w:rPr>
            <w:t xml:space="preserve">22</w:t>
          </w:r>
          <w:r>
            <w:rPr>
              <w:rFonts w:ascii="Arial Narrow" w:hAnsi="Arial Narrow" w:eastAsiaTheme="minorHAnsi" w:cstheme="minorBidi"/>
              <w:b/>
              <w:bCs/>
              <w:sz w:val="20"/>
              <w:szCs w:val="22"/>
            </w:rPr>
            <w:fldChar w:fldCharType="end"/>
          </w:r>
        </w:p>
      </w:tc>
    </w:tr>
    <w:tr>
      <w:trPr/>
      <w:tc>
        <w:tcPr>
          <w:tcW w:type="dxa" w:w="1838"/>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6237"/>
          <w:vMerge w:val="continue"/>
          <w:tcBorders/>
        </w:tcPr>
        <w:p>
          <w:pPr>
            <w:tabs>
              <w:tab w:val="center" w:pos="4819"/>
              <w:tab w:val="right" w:pos="9638"/>
            </w:tabs>
            <w:spacing/>
            <w:jc w:val="left"/>
            <w:rPr>
              <w:rFonts w:ascii="Arial Narrow" w:hAnsi="Arial Narrow" w:eastAsiaTheme="minorHAnsi" w:cstheme="minorBidi"/>
              <w:sz w:val="20"/>
              <w:szCs w:val="22"/>
            </w:rPr>
          </w:pPr>
        </w:p>
      </w:tc>
      <w:tc>
        <w:tcPr>
          <w:tcW w:type="dxa" w:w="1553"/>
          <w:tcBorders/>
        </w:tcPr>
        <w:p>
          <w:pPr>
            <w:tabs>
              <w:tab w:val="center" w:pos="4819"/>
              <w:tab w:val="right" w:pos="9638"/>
            </w:tabs>
            <w:spacing/>
            <w:jc w:val="left"/>
            <w:rPr>
              <w:rFonts w:ascii="Arial Narrow" w:hAnsi="Arial Narrow" w:eastAsiaTheme="minorHAnsi" w:cstheme="minorBidi"/>
              <w:sz w:val="20"/>
              <w:szCs w:val="22"/>
            </w:rPr>
          </w:pPr>
        </w:p>
      </w:tc>
    </w:tr>
  </w:tbl>
  <w:p w14:paraId="64466464">
    <w:pPr>
      <w:pStyle w:val="Header"/>
      <w:spacin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35B4C"/>
    <w:lvl w:ilvl="0">
      <w:start w:val="1"/>
      <w:numFmt w:val="bullet"/>
      <w:suff w:val="tab"/>
      <w:lvlText w:val="o"/>
      <w:pPr>
        <w:tabs>
          <w:tab w:val="num" w:pos="720"/>
        </w:tabs>
        <w:spacing/>
        <w:ind w:left="720" w:hanging="360"/>
      </w:pPr>
      <w:rPr>
        <w:rFonts w:ascii="Courier New" w:hAnsi="Courier New"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o"/>
      <w:pPr>
        <w:tabs>
          <w:tab w:val="num" w:pos="2160"/>
        </w:tabs>
        <w:spacing/>
        <w:ind w:left="2160" w:hanging="360"/>
      </w:pPr>
      <w:rPr>
        <w:rFonts w:ascii="Courier New" w:hAnsi="Courier New" w:hint="default"/>
        <w:sz w:val="20"/>
      </w:rPr>
    </w:lvl>
    <w:lvl w:ilvl="3">
      <w:start w:val="1"/>
      <w:numFmt w:val="bullet"/>
      <w:suff w:val="tab"/>
      <w:lvlText w:val="o"/>
      <w:pPr>
        <w:tabs>
          <w:tab w:val="num" w:pos="2880"/>
        </w:tabs>
        <w:spacing/>
        <w:ind w:left="2880" w:hanging="360"/>
      </w:pPr>
      <w:rPr>
        <w:rFonts w:ascii="Courier New" w:hAnsi="Courier New" w:hint="default"/>
        <w:sz w:val="20"/>
      </w:rPr>
    </w:lvl>
    <w:lvl w:ilvl="4">
      <w:start w:val="1"/>
      <w:numFmt w:val="bullet"/>
      <w:suff w:val="tab"/>
      <w:lvlText w:val="o"/>
      <w:pPr>
        <w:tabs>
          <w:tab w:val="num" w:pos="3600"/>
        </w:tabs>
        <w:spacing/>
        <w:ind w:left="3600" w:hanging="360"/>
      </w:pPr>
      <w:rPr>
        <w:rFonts w:ascii="Courier New" w:hAnsi="Courier New" w:hint="default"/>
        <w:sz w:val="20"/>
      </w:rPr>
    </w:lvl>
    <w:lvl w:ilvl="5">
      <w:start w:val="1"/>
      <w:numFmt w:val="bullet"/>
      <w:suff w:val="tab"/>
      <w:lvlText w:val="o"/>
      <w:pPr>
        <w:tabs>
          <w:tab w:val="num" w:pos="4320"/>
        </w:tabs>
        <w:spacing/>
        <w:ind w:left="4320" w:hanging="360"/>
      </w:pPr>
      <w:rPr>
        <w:rFonts w:ascii="Courier New" w:hAnsi="Courier New" w:hint="default"/>
        <w:sz w:val="20"/>
      </w:rPr>
    </w:lvl>
    <w:lvl w:ilvl="6">
      <w:start w:val="1"/>
      <w:numFmt w:val="bullet"/>
      <w:suff w:val="tab"/>
      <w:lvlText w:val="o"/>
      <w:pPr>
        <w:tabs>
          <w:tab w:val="num" w:pos="5040"/>
        </w:tabs>
        <w:spacing/>
        <w:ind w:left="5040" w:hanging="360"/>
      </w:pPr>
      <w:rPr>
        <w:rFonts w:ascii="Courier New" w:hAnsi="Courier New" w:hint="default"/>
        <w:sz w:val="20"/>
      </w:rPr>
    </w:lvl>
    <w:lvl w:ilvl="7">
      <w:start w:val="1"/>
      <w:numFmt w:val="bullet"/>
      <w:suff w:val="tab"/>
      <w:lvlText w:val="o"/>
      <w:pPr>
        <w:tabs>
          <w:tab w:val="num" w:pos="5760"/>
        </w:tabs>
        <w:spacing/>
        <w:ind w:left="5760" w:hanging="360"/>
      </w:pPr>
      <w:rPr>
        <w:rFonts w:ascii="Courier New" w:hAnsi="Courier New" w:hint="default"/>
        <w:sz w:val="20"/>
      </w:rPr>
    </w:lvl>
    <w:lvl w:ilvl="8">
      <w:start w:val="1"/>
      <w:numFmt w:val="bullet"/>
      <w:suff w:val="tab"/>
      <w:lvlText w:val="o"/>
      <w:pPr>
        <w:tabs>
          <w:tab w:val="num" w:pos="6480"/>
        </w:tabs>
        <w:spacing/>
        <w:ind w:left="6480" w:hanging="360"/>
      </w:pPr>
      <w:rPr>
        <w:rFonts w:ascii="Courier New" w:hAnsi="Courier New" w:hint="default"/>
        <w:sz w:val="20"/>
      </w:rPr>
    </w:lvl>
  </w:abstractNum>
  <w:abstractNum w:abstractNumId="1">
    <w:nsid w:val="0278772C"/>
    <w:lvl w:ilvl="0">
      <w:start w:val="1"/>
      <w:numFmt w:val="decimal"/>
      <w:suff w:val="tab"/>
      <w:lvlText w:val="%1."/>
      <w:pPr>
        <w:spacing/>
        <w:ind w:left="644" w:hanging="360"/>
      </w:pPr>
      <w:rPr>
        <w:rFonts w:ascii="Arial" w:hAnsi="Arial" w:cs="Arial" w:hint="default"/>
        <w:b/>
        <w:i w:val="0"/>
        <w:color w:val="auto"/>
        <w:sz w:val="24"/>
        <w:szCs w:val="24"/>
      </w:rPr>
    </w:lvl>
    <w:lvl w:ilvl="1">
      <w:start w:val="1"/>
      <w:numFmt w:val="decimal"/>
      <w:isLgl/>
      <w:suff w:val="tab"/>
      <w:lvlText w:val="%1.%2."/>
      <w:pPr>
        <w:spacing/>
        <w:ind w:left="927" w:hanging="360"/>
      </w:pPr>
      <w:rPr>
        <w:rFonts w:hint="default"/>
        <w:b/>
        <w:bCs/>
        <w:i w:val="0"/>
        <w:iCs w:val="0"/>
        <w:color w:val="auto"/>
        <w:sz w:val="22"/>
        <w:szCs w:val="22"/>
      </w:rPr>
    </w:lvl>
    <w:lvl w:ilvl="2">
      <w:start w:val="3"/>
      <w:numFmt w:val="bullet"/>
      <w:suff w:val="tab"/>
      <w:lvlText w:val="–"/>
      <w:pPr>
        <w:spacing/>
        <w:ind w:left="1070" w:hanging="360"/>
      </w:pPr>
      <w:rPr>
        <w:rFonts w:ascii="Times New Roman" w:hAnsi="Times New Roman" w:eastAsia="SimSun" w:cs="Times New Roman" w:hint="default"/>
      </w:rPr>
    </w:lvl>
    <w:lvl w:ilvl="3">
      <w:start w:val="1"/>
      <w:numFmt w:val="bullet"/>
      <w:suff w:val="tab"/>
      <w:lvlText w:val=""/>
      <w:pPr>
        <w:spacing/>
        <w:ind w:left="1070" w:hanging="360"/>
      </w:pPr>
      <w:rPr>
        <w:rFonts w:ascii="Wingdings" w:hAnsi="Wingdings" w:hint="default"/>
      </w:rPr>
    </w:lvl>
    <w:lvl w:ilvl="4">
      <w:start w:val="1"/>
      <w:numFmt w:val="decimal"/>
      <w:isLgl/>
      <w:suff w:val="tab"/>
      <w:lvlText w:val="%1.%2.%3.%4.%5."/>
      <w:pPr>
        <w:spacing/>
        <w:ind w:left="1790" w:hanging="1080"/>
      </w:pPr>
      <w:rPr>
        <w:rFonts w:hint="default"/>
      </w:rPr>
    </w:lvl>
    <w:lvl w:ilvl="5">
      <w:start w:val="1"/>
      <w:numFmt w:val="decimal"/>
      <w:isLgl/>
      <w:suff w:val="tab"/>
      <w:lvlText w:val="%1.%2.%3.%4.%5.%6."/>
      <w:pPr>
        <w:spacing/>
        <w:ind w:left="1790" w:hanging="1080"/>
      </w:pPr>
      <w:rPr>
        <w:rFonts w:hint="default"/>
      </w:rPr>
    </w:lvl>
    <w:lvl w:ilvl="6">
      <w:start w:val="1"/>
      <w:numFmt w:val="decimal"/>
      <w:isLgl/>
      <w:suff w:val="tab"/>
      <w:lvlText w:val="%1.%2.%3.%4.%5.%6.%7."/>
      <w:pPr>
        <w:spacing/>
        <w:ind w:left="1790" w:hanging="1080"/>
      </w:pPr>
      <w:rPr>
        <w:rFonts w:hint="default"/>
      </w:rPr>
    </w:lvl>
    <w:lvl w:ilvl="7">
      <w:start w:val="1"/>
      <w:numFmt w:val="decimal"/>
      <w:isLgl/>
      <w:suff w:val="tab"/>
      <w:lvlText w:val="%1.%2.%3.%4.%5.%6.%7.%8."/>
      <w:pPr>
        <w:spacing/>
        <w:ind w:left="2150" w:hanging="1440"/>
      </w:pPr>
      <w:rPr>
        <w:rFonts w:hint="default"/>
      </w:rPr>
    </w:lvl>
    <w:lvl w:ilvl="8">
      <w:start w:val="1"/>
      <w:numFmt w:val="decimal"/>
      <w:isLgl/>
      <w:suff w:val="tab"/>
      <w:lvlText w:val="%1.%2.%3.%4.%5.%6.%7.%8.%9."/>
      <w:pPr>
        <w:spacing/>
        <w:ind w:left="2150" w:hanging="1440"/>
      </w:pPr>
      <w:rPr>
        <w:rFonts w:hint="default"/>
      </w:rPr>
    </w:lvl>
  </w:abstractNum>
  <w:abstractNum w:abstractNumId="2">
    <w:nsid w:val="03E92EB8"/>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
    <w:nsid w:val="04380A01"/>
    <w:lvl w:ilvl="0">
      <w:start w:val="4"/>
      <w:numFmt w:val="decimal"/>
      <w:suff w:val="tab"/>
      <w:lvlText w:val="%1"/>
      <w:pPr>
        <w:spacing/>
        <w:ind w:left="600" w:hanging="600"/>
      </w:pPr>
      <w:rPr>
        <w:rFonts w:hint="default"/>
      </w:rPr>
    </w:lvl>
    <w:lvl w:ilvl="1">
      <w:start w:val="23"/>
      <w:numFmt w:val="decimal"/>
      <w:suff w:val="tab"/>
      <w:lvlText w:val="%1.%2"/>
      <w:pPr>
        <w:spacing/>
        <w:ind w:left="1025" w:hanging="600"/>
      </w:pPr>
      <w:rPr>
        <w:rFonts w:hint="default"/>
      </w:rPr>
    </w:lvl>
    <w:lvl w:ilvl="2">
      <w:start w:val="3"/>
      <w:numFmt w:val="bullet"/>
      <w:suff w:val="tab"/>
      <w:lvlText w:val="–"/>
      <w:pPr>
        <w:spacing/>
        <w:ind w:left="1210" w:hanging="360"/>
      </w:pPr>
      <w:rPr>
        <w:rFonts w:ascii="Times New Roman" w:hAnsi="Times New Roman" w:eastAsia="SimSun" w:cs="Times New Roman" w:hint="default"/>
      </w:rPr>
    </w:lvl>
    <w:lvl w:ilvl="3">
      <w:start w:val="1"/>
      <w:numFmt w:val="decimal"/>
      <w:suff w:val="tab"/>
      <w:lvlText w:val="%1.%2.%3.%4"/>
      <w:pPr>
        <w:spacing/>
        <w:ind w:left="1995" w:hanging="720"/>
      </w:pPr>
      <w:rPr>
        <w:rFonts w:hint="default"/>
      </w:rPr>
    </w:lvl>
    <w:lvl w:ilvl="4">
      <w:start w:val="1"/>
      <w:numFmt w:val="decimal"/>
      <w:suff w:val="tab"/>
      <w:lvlText w:val="%1.%2.%3.%4.%5"/>
      <w:pPr>
        <w:spacing/>
        <w:ind w:left="2780" w:hanging="1080"/>
      </w:pPr>
      <w:rPr>
        <w:rFonts w:hint="default"/>
      </w:rPr>
    </w:lvl>
    <w:lvl w:ilvl="5">
      <w:start w:val="1"/>
      <w:numFmt w:val="decimal"/>
      <w:suff w:val="tab"/>
      <w:lvlText w:val="%1.%2.%3.%4.%5.%6"/>
      <w:pPr>
        <w:spacing/>
        <w:ind w:left="3205" w:hanging="1080"/>
      </w:pPr>
      <w:rPr>
        <w:rFonts w:hint="default"/>
      </w:rPr>
    </w:lvl>
    <w:lvl w:ilvl="6">
      <w:start w:val="1"/>
      <w:numFmt w:val="decimal"/>
      <w:suff w:val="tab"/>
      <w:lvlText w:val="%1.%2.%3.%4.%5.%6.%7"/>
      <w:pPr>
        <w:spacing/>
        <w:ind w:left="3990" w:hanging="1440"/>
      </w:pPr>
      <w:rPr>
        <w:rFonts w:hint="default"/>
      </w:rPr>
    </w:lvl>
    <w:lvl w:ilvl="7">
      <w:start w:val="1"/>
      <w:numFmt w:val="decimal"/>
      <w:suff w:val="tab"/>
      <w:lvlText w:val="%1.%2.%3.%4.%5.%6.%7.%8"/>
      <w:pPr>
        <w:spacing/>
        <w:ind w:left="4415" w:hanging="1440"/>
      </w:pPr>
      <w:rPr>
        <w:rFonts w:hint="default"/>
      </w:rPr>
    </w:lvl>
    <w:lvl w:ilvl="8">
      <w:start w:val="1"/>
      <w:numFmt w:val="decimal"/>
      <w:suff w:val="tab"/>
      <w:lvlText w:val="%1.%2.%3.%4.%5.%6.%7.%8.%9"/>
      <w:pPr>
        <w:spacing/>
        <w:ind w:left="5200" w:hanging="1800"/>
      </w:pPr>
      <w:rPr>
        <w:rFonts w:hint="default"/>
      </w:rPr>
    </w:lvl>
  </w:abstractNum>
  <w:abstractNum w:abstractNumId="4">
    <w:nsid w:val="047C2B7D"/>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
    <w:nsid w:val="098B3ABB"/>
    <w:lvl w:ilvl="0">
      <w:start w:val="3"/>
      <w:numFmt w:val="bullet"/>
      <w:suff w:val="tab"/>
      <w:lvlText w:val="–"/>
      <w:pPr>
        <w:spacing/>
        <w:ind w:left="720" w:hanging="360"/>
      </w:pPr>
      <w:rPr>
        <w:rFonts w:ascii="Times New Roman" w:hAnsi="Times New Roman" w:eastAsia="SimSu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6">
    <w:nsid w:val="0ABF612B"/>
    <w:lvl w:ilvl="0">
      <w:start w:val="1"/>
      <w:numFmt w:val="bullet"/>
      <w:suff w:val="tab"/>
      <w:lvlText w:val=""/>
      <w:pPr>
        <w:spacing/>
        <w:ind w:left="1996" w:hanging="360"/>
      </w:pPr>
      <w:rPr>
        <w:rFonts w:ascii="Wingdings" w:hAnsi="Wingdings"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7">
    <w:nsid w:val="0B2F4BB4"/>
    <w:lvl w:ilvl="0">
      <w:start w:val="1"/>
      <w:numFmt w:val="decimal"/>
      <w:suff w:val="tab"/>
      <w:lvlText w:val="%1."/>
      <w:pPr>
        <w:spacing/>
        <w:ind w:left="720" w:hanging="360"/>
      </w:pPr>
      <w:rPr>
        <w:rFonts w:hint="default"/>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0C6650F2"/>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9">
    <w:nsid w:val="0CB77C33"/>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
      <w:pPr>
        <w:spacing/>
        <w:ind w:left="1996" w:hanging="360"/>
      </w:pPr>
      <w:rPr>
        <w:rFonts w:ascii="Wingdings" w:hAnsi="Wingdings"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10">
    <w:nsid w:val="0D1339AF"/>
    <w:lvl w:ilvl="0">
      <w:start w:val="0"/>
      <w:numFmt w:val="bullet"/>
      <w:suff w:val="tab"/>
      <w:lvlText w:val="-"/>
      <w:pPr>
        <w:tabs>
          <w:tab w:val="num" w:pos="720"/>
        </w:tabs>
        <w:spacing/>
        <w:ind w:left="720" w:hanging="360"/>
      </w:pPr>
      <w:rPr>
        <w:rFonts w:ascii="Calibri" w:hAnsi="Calibri" w:eastAsiaTheme="minorHAnsi" w:cs="Calibri" w:hint="default"/>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11">
    <w:nsid w:val="0FE167BF"/>
    <w:lvl w:ilvl="0">
      <w:start w:val="1"/>
      <w:numFmt w:val="bullet"/>
      <w:suff w:val="tab"/>
      <w:lvlText w:val=""/>
      <w:pPr>
        <w:spacing/>
        <w:ind w:left="1287" w:hanging="360"/>
      </w:pPr>
      <w:rPr>
        <w:rFonts w:ascii="Symbol" w:hAnsi="Symbol"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2">
    <w:nsid w:val="0FFE491B"/>
    <w:lvl w:ilvl="0">
      <w:start w:val="3"/>
      <w:numFmt w:val="bullet"/>
      <w:suff w:val="tab"/>
      <w:lvlText w:val="–"/>
      <w:pPr>
        <w:spacing/>
        <w:ind w:left="2295" w:hanging="360"/>
      </w:pPr>
      <w:rPr>
        <w:rFonts w:ascii="Times New Roman" w:hAnsi="Times New Roman" w:eastAsia="SimSun" w:cs="Times New Roman" w:hint="default"/>
      </w:rPr>
    </w:lvl>
    <w:lvl w:ilvl="1">
      <w:start w:val="1"/>
      <w:numFmt w:val="bullet"/>
      <w:suff w:val="tab"/>
      <w:lvlText w:val="o"/>
      <w:pPr>
        <w:spacing/>
        <w:ind w:left="3015" w:hanging="360"/>
      </w:pPr>
      <w:rPr>
        <w:rFonts w:ascii="Courier New" w:hAnsi="Courier New" w:cs="Courier New" w:hint="default"/>
      </w:rPr>
    </w:lvl>
    <w:lvl w:ilvl="2">
      <w:start w:val="1"/>
      <w:numFmt w:val="bullet"/>
      <w:suff w:val="tab"/>
      <w:lvlText w:val=""/>
      <w:pPr>
        <w:spacing/>
        <w:ind w:left="3735" w:hanging="360"/>
      </w:pPr>
      <w:rPr>
        <w:rFonts w:ascii="Wingdings" w:hAnsi="Wingdings" w:hint="default"/>
      </w:rPr>
    </w:lvl>
    <w:lvl w:ilvl="3">
      <w:start w:val="1"/>
      <w:numFmt w:val="bullet"/>
      <w:suff w:val="tab"/>
      <w:lvlText w:val=""/>
      <w:pPr>
        <w:spacing/>
        <w:ind w:left="4455" w:hanging="360"/>
      </w:pPr>
      <w:rPr>
        <w:rFonts w:ascii="Symbol" w:hAnsi="Symbol" w:hint="default"/>
      </w:rPr>
    </w:lvl>
    <w:lvl w:ilvl="4">
      <w:start w:val="1"/>
      <w:numFmt w:val="bullet"/>
      <w:suff w:val="tab"/>
      <w:lvlText w:val="o"/>
      <w:pPr>
        <w:spacing/>
        <w:ind w:left="5175" w:hanging="360"/>
      </w:pPr>
      <w:rPr>
        <w:rFonts w:ascii="Courier New" w:hAnsi="Courier New" w:cs="Courier New" w:hint="default"/>
      </w:rPr>
    </w:lvl>
    <w:lvl w:ilvl="5">
      <w:start w:val="1"/>
      <w:numFmt w:val="bullet"/>
      <w:suff w:val="tab"/>
      <w:lvlText w:val=""/>
      <w:pPr>
        <w:spacing/>
        <w:ind w:left="5895" w:hanging="360"/>
      </w:pPr>
      <w:rPr>
        <w:rFonts w:ascii="Wingdings" w:hAnsi="Wingdings" w:hint="default"/>
      </w:rPr>
    </w:lvl>
    <w:lvl w:ilvl="6">
      <w:start w:val="1"/>
      <w:numFmt w:val="bullet"/>
      <w:suff w:val="tab"/>
      <w:lvlText w:val=""/>
      <w:pPr>
        <w:spacing/>
        <w:ind w:left="6615" w:hanging="360"/>
      </w:pPr>
      <w:rPr>
        <w:rFonts w:ascii="Symbol" w:hAnsi="Symbol" w:hint="default"/>
      </w:rPr>
    </w:lvl>
    <w:lvl w:ilvl="7">
      <w:start w:val="1"/>
      <w:numFmt w:val="bullet"/>
      <w:suff w:val="tab"/>
      <w:lvlText w:val="o"/>
      <w:pPr>
        <w:spacing/>
        <w:ind w:left="7335" w:hanging="360"/>
      </w:pPr>
      <w:rPr>
        <w:rFonts w:ascii="Courier New" w:hAnsi="Courier New" w:cs="Courier New" w:hint="default"/>
      </w:rPr>
    </w:lvl>
    <w:lvl w:ilvl="8">
      <w:start w:val="1"/>
      <w:numFmt w:val="bullet"/>
      <w:suff w:val="tab"/>
      <w:lvlText w:val=""/>
      <w:pPr>
        <w:spacing/>
        <w:ind w:left="8055" w:hanging="360"/>
      </w:pPr>
      <w:rPr>
        <w:rFonts w:ascii="Wingdings" w:hAnsi="Wingdings" w:hint="default"/>
      </w:rPr>
    </w:lvl>
  </w:abstractNum>
  <w:abstractNum w:abstractNumId="13">
    <w:nsid w:val="11552E43"/>
    <w:lvl w:ilvl="0">
      <w:start w:val="1"/>
      <w:numFmt w:val="bullet"/>
      <w:suff w:val="tab"/>
      <w:lvlText w:val=""/>
      <w:pPr>
        <w:spacing/>
        <w:ind w:left="2865" w:hanging="360"/>
      </w:pPr>
      <w:rPr>
        <w:rFonts w:ascii="Wingdings" w:hAnsi="Wingdings" w:hint="default"/>
      </w:rPr>
    </w:lvl>
    <w:lvl w:ilvl="1">
      <w:start w:val="1"/>
      <w:numFmt w:val="bullet"/>
      <w:suff w:val="tab"/>
      <w:lvlText w:val="o"/>
      <w:pPr>
        <w:spacing/>
        <w:ind w:left="3585" w:hanging="360"/>
      </w:pPr>
      <w:rPr>
        <w:rFonts w:ascii="Courier New" w:hAnsi="Courier New" w:cs="Courier New" w:hint="default"/>
      </w:rPr>
    </w:lvl>
    <w:lvl w:ilvl="2">
      <w:start w:val="1"/>
      <w:numFmt w:val="bullet"/>
      <w:suff w:val="tab"/>
      <w:lvlText w:val=""/>
      <w:pPr>
        <w:spacing/>
        <w:ind w:left="4305" w:hanging="360"/>
      </w:pPr>
      <w:rPr>
        <w:rFonts w:ascii="Wingdings" w:hAnsi="Wingdings" w:hint="default"/>
      </w:rPr>
    </w:lvl>
    <w:lvl w:ilvl="3">
      <w:start w:val="1"/>
      <w:numFmt w:val="bullet"/>
      <w:suff w:val="tab"/>
      <w:lvlText w:val=""/>
      <w:pPr>
        <w:spacing/>
        <w:ind w:left="5025" w:hanging="360"/>
      </w:pPr>
      <w:rPr>
        <w:rFonts w:ascii="Symbol" w:hAnsi="Symbol" w:hint="default"/>
      </w:rPr>
    </w:lvl>
    <w:lvl w:ilvl="4">
      <w:start w:val="1"/>
      <w:numFmt w:val="bullet"/>
      <w:suff w:val="tab"/>
      <w:lvlText w:val="o"/>
      <w:pPr>
        <w:spacing/>
        <w:ind w:left="5745" w:hanging="360"/>
      </w:pPr>
      <w:rPr>
        <w:rFonts w:ascii="Courier New" w:hAnsi="Courier New" w:cs="Courier New" w:hint="default"/>
      </w:rPr>
    </w:lvl>
    <w:lvl w:ilvl="5">
      <w:start w:val="1"/>
      <w:numFmt w:val="bullet"/>
      <w:suff w:val="tab"/>
      <w:lvlText w:val=""/>
      <w:pPr>
        <w:spacing/>
        <w:ind w:left="6465" w:hanging="360"/>
      </w:pPr>
      <w:rPr>
        <w:rFonts w:ascii="Wingdings" w:hAnsi="Wingdings" w:hint="default"/>
      </w:rPr>
    </w:lvl>
    <w:lvl w:ilvl="6">
      <w:start w:val="1"/>
      <w:numFmt w:val="bullet"/>
      <w:suff w:val="tab"/>
      <w:lvlText w:val=""/>
      <w:pPr>
        <w:spacing/>
        <w:ind w:left="7185" w:hanging="360"/>
      </w:pPr>
      <w:rPr>
        <w:rFonts w:ascii="Symbol" w:hAnsi="Symbol" w:hint="default"/>
      </w:rPr>
    </w:lvl>
    <w:lvl w:ilvl="7">
      <w:start w:val="1"/>
      <w:numFmt w:val="bullet"/>
      <w:suff w:val="tab"/>
      <w:lvlText w:val="o"/>
      <w:pPr>
        <w:spacing/>
        <w:ind w:left="7905" w:hanging="360"/>
      </w:pPr>
      <w:rPr>
        <w:rFonts w:ascii="Courier New" w:hAnsi="Courier New" w:cs="Courier New" w:hint="default"/>
      </w:rPr>
    </w:lvl>
    <w:lvl w:ilvl="8">
      <w:start w:val="1"/>
      <w:numFmt w:val="bullet"/>
      <w:suff w:val="tab"/>
      <w:lvlText w:val=""/>
      <w:pPr>
        <w:spacing/>
        <w:ind w:left="8625" w:hanging="360"/>
      </w:pPr>
      <w:rPr>
        <w:rFonts w:ascii="Wingdings" w:hAnsi="Wingdings" w:hint="default"/>
      </w:rPr>
    </w:lvl>
  </w:abstractNum>
  <w:abstractNum w:abstractNumId="14">
    <w:nsid w:val="152C786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15">
    <w:nsid w:val="167360AE"/>
    <w:lvl w:ilvl="0">
      <w:start w:val="3"/>
      <w:numFmt w:val="bullet"/>
      <w:suff w:val="tab"/>
      <w:lvlText w:val="–"/>
      <w:pPr>
        <w:spacing/>
        <w:ind w:left="1287" w:hanging="360"/>
      </w:pPr>
      <w:rPr>
        <w:rFonts w:ascii="Times New Roman" w:hAnsi="Times New Roman" w:eastAsia="SimSun" w:cs="Times New Roman" w:hint="default"/>
        <w:color w:val="auto"/>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16">
    <w:nsid w:val="1BD86D4C"/>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1E880EEE"/>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8">
    <w:nsid w:val="227C1AA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19">
    <w:nsid w:val="254F6FC1"/>
    <w:lvl w:ilvl="0">
      <w:start w:val="23"/>
      <w:numFmt w:val="decimal"/>
      <w:suff w:val="tab"/>
      <w:lvlText w:val="%1."/>
      <w:pPr>
        <w:tabs>
          <w:tab w:val="num" w:pos="720"/>
        </w:tabs>
        <w:spacing/>
        <w:ind w:left="720" w:hanging="360"/>
      </w:pPr>
      <w:rPr/>
    </w:lvl>
    <w:lvl w:ilvl="1">
      <w:start w:val="1"/>
      <w:numFmt w:val="decimal"/>
      <w:suff w:val="tab"/>
      <w:lvlText w:val="%2."/>
      <w:pPr>
        <w:tabs>
          <w:tab w:val="num" w:pos="1440"/>
        </w:tabs>
        <w:spacing/>
        <w:ind w:left="1440" w:hanging="360"/>
      </w:pPr>
      <w:rPr/>
    </w:lvl>
    <w:lvl w:ilvl="2">
      <w:start w:val="1"/>
      <w:numFmt w:val="decimal"/>
      <w:suff w:val="tab"/>
      <w:lvlText w:val="%3."/>
      <w:pPr>
        <w:tabs>
          <w:tab w:val="num" w:pos="2160"/>
        </w:tabs>
        <w:spacing/>
        <w:ind w:left="2160" w:hanging="360"/>
      </w:pPr>
      <w:rPr/>
    </w:lvl>
    <w:lvl w:ilvl="3">
      <w:start w:val="1"/>
      <w:numFmt w:val="decimal"/>
      <w:suff w:val="tab"/>
      <w:lvlText w:val="%4."/>
      <w:pPr>
        <w:tabs>
          <w:tab w:val="num" w:pos="2880"/>
        </w:tabs>
        <w:spacing/>
        <w:ind w:left="2880" w:hanging="360"/>
      </w:pPr>
      <w:rPr/>
    </w:lvl>
    <w:lvl w:ilvl="4">
      <w:start w:val="1"/>
      <w:numFmt w:val="decimal"/>
      <w:suff w:val="tab"/>
      <w:lvlText w:val="%5."/>
      <w:pPr>
        <w:tabs>
          <w:tab w:val="num" w:pos="3600"/>
        </w:tabs>
        <w:spacing/>
        <w:ind w:left="3600" w:hanging="360"/>
      </w:pPr>
      <w:rPr/>
    </w:lvl>
    <w:lvl w:ilvl="5">
      <w:start w:val="1"/>
      <w:numFmt w:val="decimal"/>
      <w:suff w:val="tab"/>
      <w:lvlText w:val="%6."/>
      <w:pPr>
        <w:tabs>
          <w:tab w:val="num" w:pos="4320"/>
        </w:tabs>
        <w:spacing/>
        <w:ind w:left="4320" w:hanging="360"/>
      </w:pPr>
      <w:rPr/>
    </w:lvl>
    <w:lvl w:ilvl="6">
      <w:start w:val="1"/>
      <w:numFmt w:val="decimal"/>
      <w:suff w:val="tab"/>
      <w:lvlText w:val="%7."/>
      <w:pPr>
        <w:tabs>
          <w:tab w:val="num" w:pos="5040"/>
        </w:tabs>
        <w:spacing/>
        <w:ind w:left="5040" w:hanging="360"/>
      </w:pPr>
      <w:rPr/>
    </w:lvl>
    <w:lvl w:ilvl="7">
      <w:start w:val="1"/>
      <w:numFmt w:val="decimal"/>
      <w:suff w:val="tab"/>
      <w:lvlText w:val="%8."/>
      <w:pPr>
        <w:tabs>
          <w:tab w:val="num" w:pos="5760"/>
        </w:tabs>
        <w:spacing/>
        <w:ind w:left="5760" w:hanging="360"/>
      </w:pPr>
      <w:rPr/>
    </w:lvl>
    <w:lvl w:ilvl="8">
      <w:start w:val="1"/>
      <w:numFmt w:val="decimal"/>
      <w:suff w:val="tab"/>
      <w:lvlText w:val="%9."/>
      <w:pPr>
        <w:tabs>
          <w:tab w:val="num" w:pos="6480"/>
        </w:tabs>
        <w:spacing/>
        <w:ind w:left="6480" w:hanging="360"/>
      </w:pPr>
      <w:rPr/>
    </w:lvl>
  </w:abstractNum>
  <w:abstractNum w:abstractNumId="20">
    <w:nsid w:val="291964BC"/>
    <w:lvl w:ilvl="0">
      <w:start w:val="0"/>
      <w:numFmt w:val="bullet"/>
      <w:suff w:val="tab"/>
      <w:lvlText w:val="-"/>
      <w:pPr>
        <w:spacing/>
        <w:ind w:left="720" w:hanging="360"/>
      </w:pPr>
      <w:rPr>
        <w:rFonts w:ascii="Calibri" w:hAnsi="Calibri" w:eastAsiaTheme="minorHAnsi" w:cs="Calibri"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1">
    <w:nsid w:val="2D53135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2">
    <w:nsid w:val="2D6F2BF3"/>
    <w:lvl w:ilvl="0">
      <w:start w:val="1"/>
      <w:numFmt w:val="bullet"/>
      <w:suff w:val="tab"/>
      <w:lvlText w:val="o"/>
      <w:pPr>
        <w:tabs>
          <w:tab w:val="num" w:pos="720"/>
        </w:tabs>
        <w:spacing/>
        <w:ind w:left="720" w:hanging="360"/>
      </w:pPr>
      <w:rPr>
        <w:rFonts w:ascii="Courier New" w:hAnsi="Courier New"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o"/>
      <w:pPr>
        <w:tabs>
          <w:tab w:val="num" w:pos="2160"/>
        </w:tabs>
        <w:spacing/>
        <w:ind w:left="2160" w:hanging="360"/>
      </w:pPr>
      <w:rPr>
        <w:rFonts w:ascii="Courier New" w:hAnsi="Courier New" w:hint="default"/>
        <w:sz w:val="20"/>
      </w:rPr>
    </w:lvl>
    <w:lvl w:ilvl="3">
      <w:start w:val="1"/>
      <w:numFmt w:val="bullet"/>
      <w:suff w:val="tab"/>
      <w:lvlText w:val="o"/>
      <w:pPr>
        <w:tabs>
          <w:tab w:val="num" w:pos="2880"/>
        </w:tabs>
        <w:spacing/>
        <w:ind w:left="2880" w:hanging="360"/>
      </w:pPr>
      <w:rPr>
        <w:rFonts w:ascii="Courier New" w:hAnsi="Courier New" w:hint="default"/>
        <w:sz w:val="20"/>
      </w:rPr>
    </w:lvl>
    <w:lvl w:ilvl="4">
      <w:start w:val="1"/>
      <w:numFmt w:val="bullet"/>
      <w:suff w:val="tab"/>
      <w:lvlText w:val="o"/>
      <w:pPr>
        <w:tabs>
          <w:tab w:val="num" w:pos="3600"/>
        </w:tabs>
        <w:spacing/>
        <w:ind w:left="3600" w:hanging="360"/>
      </w:pPr>
      <w:rPr>
        <w:rFonts w:ascii="Courier New" w:hAnsi="Courier New" w:hint="default"/>
        <w:sz w:val="20"/>
      </w:rPr>
    </w:lvl>
    <w:lvl w:ilvl="5">
      <w:start w:val="1"/>
      <w:numFmt w:val="bullet"/>
      <w:suff w:val="tab"/>
      <w:lvlText w:val="o"/>
      <w:pPr>
        <w:tabs>
          <w:tab w:val="num" w:pos="4320"/>
        </w:tabs>
        <w:spacing/>
        <w:ind w:left="4320" w:hanging="360"/>
      </w:pPr>
      <w:rPr>
        <w:rFonts w:ascii="Courier New" w:hAnsi="Courier New" w:hint="default"/>
        <w:sz w:val="20"/>
      </w:rPr>
    </w:lvl>
    <w:lvl w:ilvl="6">
      <w:start w:val="1"/>
      <w:numFmt w:val="bullet"/>
      <w:suff w:val="tab"/>
      <w:lvlText w:val="o"/>
      <w:pPr>
        <w:tabs>
          <w:tab w:val="num" w:pos="5040"/>
        </w:tabs>
        <w:spacing/>
        <w:ind w:left="5040" w:hanging="360"/>
      </w:pPr>
      <w:rPr>
        <w:rFonts w:ascii="Courier New" w:hAnsi="Courier New" w:hint="default"/>
        <w:sz w:val="20"/>
      </w:rPr>
    </w:lvl>
    <w:lvl w:ilvl="7">
      <w:start w:val="1"/>
      <w:numFmt w:val="bullet"/>
      <w:suff w:val="tab"/>
      <w:lvlText w:val="o"/>
      <w:pPr>
        <w:tabs>
          <w:tab w:val="num" w:pos="5760"/>
        </w:tabs>
        <w:spacing/>
        <w:ind w:left="5760" w:hanging="360"/>
      </w:pPr>
      <w:rPr>
        <w:rFonts w:ascii="Courier New" w:hAnsi="Courier New" w:hint="default"/>
        <w:sz w:val="20"/>
      </w:rPr>
    </w:lvl>
    <w:lvl w:ilvl="8">
      <w:start w:val="1"/>
      <w:numFmt w:val="bullet"/>
      <w:suff w:val="tab"/>
      <w:lvlText w:val="o"/>
      <w:pPr>
        <w:tabs>
          <w:tab w:val="num" w:pos="6480"/>
        </w:tabs>
        <w:spacing/>
        <w:ind w:left="6480" w:hanging="360"/>
      </w:pPr>
      <w:rPr>
        <w:rFonts w:ascii="Courier New" w:hAnsi="Courier New" w:hint="default"/>
        <w:sz w:val="20"/>
      </w:rPr>
    </w:lvl>
  </w:abstractNum>
  <w:abstractNum w:abstractNumId="23">
    <w:nsid w:val="2E5A0040"/>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24">
    <w:nsid w:val="341B35C2"/>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5">
    <w:nsid w:val="349A2603"/>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6">
    <w:nsid w:val="37E74817"/>
    <w:lvl w:ilvl="0">
      <w:start w:val="5"/>
      <w:numFmt w:val="bullet"/>
      <w:suff w:val="tab"/>
      <w:lvlText w:val="−"/>
      <w:pPr>
        <w:spacing/>
        <w:ind w:left="1287" w:hanging="360"/>
      </w:pPr>
      <w:rPr>
        <w:rFonts w:ascii="Times New Roman" w:hAnsi="Times New Roman" w:eastAsia="Times New Roma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27">
    <w:nsid w:val="3AB2102D"/>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8">
    <w:nsid w:val="3BE172CF"/>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29">
    <w:nsid w:val="3D786C3B"/>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0">
    <w:nsid w:val="3E0B5EED"/>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1">
    <w:nsid w:val="3ED658C8"/>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2">
    <w:nsid w:val="3EE33CB6"/>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3">
    <w:nsid w:val="3F4164EF"/>
    <w:lvl w:ilvl="0">
      <w:start w:val="3"/>
      <w:numFmt w:val="bullet"/>
      <w:suff w:val="tab"/>
      <w:lvlText w:val="–"/>
      <w:pPr>
        <w:spacing/>
        <w:ind w:left="720" w:hanging="360"/>
      </w:pPr>
      <w:rPr>
        <w:rFonts w:ascii="Times New Roman" w:hAnsi="Times New Roman" w:eastAsia="SimSun" w:cs="Times New Roman"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34">
    <w:nsid w:val="4334631D"/>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35">
    <w:nsid w:val="456C7AA4"/>
    <w:lvl w:ilvl="0">
      <w:start w:val="1"/>
      <w:numFmt w:val="bullet"/>
      <w:suff w:val="tab"/>
      <w:lvlText w:val=""/>
      <w:pPr>
        <w:spacing/>
        <w:ind w:left="2865" w:hanging="360"/>
      </w:pPr>
      <w:rPr>
        <w:rFonts w:ascii="Wingdings" w:hAnsi="Wingdings" w:hint="default"/>
      </w:rPr>
    </w:lvl>
    <w:lvl w:ilvl="1">
      <w:start w:val="1"/>
      <w:numFmt w:val="bullet"/>
      <w:suff w:val="tab"/>
      <w:lvlText w:val="o"/>
      <w:pPr>
        <w:spacing/>
        <w:ind w:left="3585" w:hanging="360"/>
      </w:pPr>
      <w:rPr>
        <w:rFonts w:ascii="Courier New" w:hAnsi="Courier New" w:cs="Courier New" w:hint="default"/>
      </w:rPr>
    </w:lvl>
    <w:lvl w:ilvl="2">
      <w:start w:val="1"/>
      <w:numFmt w:val="bullet"/>
      <w:suff w:val="tab"/>
      <w:lvlText w:val=""/>
      <w:pPr>
        <w:spacing/>
        <w:ind w:left="4305" w:hanging="360"/>
      </w:pPr>
      <w:rPr>
        <w:rFonts w:ascii="Wingdings" w:hAnsi="Wingdings" w:hint="default"/>
      </w:rPr>
    </w:lvl>
    <w:lvl w:ilvl="3">
      <w:start w:val="1"/>
      <w:numFmt w:val="bullet"/>
      <w:suff w:val="tab"/>
      <w:lvlText w:val=""/>
      <w:pPr>
        <w:spacing/>
        <w:ind w:left="5025" w:hanging="360"/>
      </w:pPr>
      <w:rPr>
        <w:rFonts w:ascii="Symbol" w:hAnsi="Symbol" w:hint="default"/>
      </w:rPr>
    </w:lvl>
    <w:lvl w:ilvl="4">
      <w:start w:val="1"/>
      <w:numFmt w:val="bullet"/>
      <w:suff w:val="tab"/>
      <w:lvlText w:val="o"/>
      <w:pPr>
        <w:spacing/>
        <w:ind w:left="5745" w:hanging="360"/>
      </w:pPr>
      <w:rPr>
        <w:rFonts w:ascii="Courier New" w:hAnsi="Courier New" w:cs="Courier New" w:hint="default"/>
      </w:rPr>
    </w:lvl>
    <w:lvl w:ilvl="5">
      <w:start w:val="1"/>
      <w:numFmt w:val="bullet"/>
      <w:suff w:val="tab"/>
      <w:lvlText w:val=""/>
      <w:pPr>
        <w:spacing/>
        <w:ind w:left="6465" w:hanging="360"/>
      </w:pPr>
      <w:rPr>
        <w:rFonts w:ascii="Wingdings" w:hAnsi="Wingdings" w:hint="default"/>
      </w:rPr>
    </w:lvl>
    <w:lvl w:ilvl="6">
      <w:start w:val="1"/>
      <w:numFmt w:val="bullet"/>
      <w:suff w:val="tab"/>
      <w:lvlText w:val=""/>
      <w:pPr>
        <w:spacing/>
        <w:ind w:left="7185" w:hanging="360"/>
      </w:pPr>
      <w:rPr>
        <w:rFonts w:ascii="Symbol" w:hAnsi="Symbol" w:hint="default"/>
      </w:rPr>
    </w:lvl>
    <w:lvl w:ilvl="7">
      <w:start w:val="1"/>
      <w:numFmt w:val="bullet"/>
      <w:suff w:val="tab"/>
      <w:lvlText w:val="o"/>
      <w:pPr>
        <w:spacing/>
        <w:ind w:left="7905" w:hanging="360"/>
      </w:pPr>
      <w:rPr>
        <w:rFonts w:ascii="Courier New" w:hAnsi="Courier New" w:cs="Courier New" w:hint="default"/>
      </w:rPr>
    </w:lvl>
    <w:lvl w:ilvl="8">
      <w:start w:val="1"/>
      <w:numFmt w:val="bullet"/>
      <w:suff w:val="tab"/>
      <w:lvlText w:val=""/>
      <w:pPr>
        <w:spacing/>
        <w:ind w:left="8625" w:hanging="360"/>
      </w:pPr>
      <w:rPr>
        <w:rFonts w:ascii="Wingdings" w:hAnsi="Wingdings" w:hint="default"/>
      </w:rPr>
    </w:lvl>
  </w:abstractNum>
  <w:abstractNum w:abstractNumId="36">
    <w:nsid w:val="46A44D89"/>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7">
    <w:nsid w:val="4A65495E"/>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8">
    <w:nsid w:val="4D3A7ADD"/>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39">
    <w:nsid w:val="5023103B"/>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40">
    <w:nsid w:val="51EA36B8"/>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41">
    <w:nsid w:val="52497825"/>
    <w:lvl w:ilvl="0">
      <w:start w:val="5"/>
      <w:numFmt w:val="bullet"/>
      <w:suff w:val="tab"/>
      <w:lvlText w:val="−"/>
      <w:pPr>
        <w:tabs>
          <w:tab w:val="num" w:pos="720"/>
        </w:tabs>
        <w:spacing/>
        <w:ind w:left="720" w:hanging="360"/>
      </w:pPr>
      <w:rPr>
        <w:rFonts w:ascii="Times New Roman" w:hAnsi="Times New Roman" w:eastAsia="Times New Roman" w:cs="Times New Roman"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42">
    <w:nsid w:val="54614DB6"/>
    <w:lvl w:ilvl="0">
      <w:start w:val="1"/>
      <w:numFmt w:val="bullet"/>
      <w:suff w:val="tab"/>
      <w:lvlText w:val=""/>
      <w:pPr>
        <w:tabs>
          <w:tab w:val="num" w:pos="720"/>
        </w:tabs>
        <w:spacing/>
        <w:ind w:left="720" w:hanging="360"/>
      </w:pPr>
      <w:rPr>
        <w:rFonts w:ascii="Wingdings" w:hAnsi="Wingdings" w:hint="default"/>
        <w:sz w:val="20"/>
      </w:rPr>
    </w:lvl>
    <w:lvl w:ilvl="1">
      <w:start w:val="1"/>
      <w:numFmt w:val="bullet"/>
      <w:suff w:val="tab"/>
      <w:lvlText w:val=""/>
      <w:pPr>
        <w:tabs>
          <w:tab w:val="num" w:pos="1440"/>
        </w:tabs>
        <w:spacing/>
        <w:ind w:left="1440" w:hanging="360"/>
      </w:pPr>
      <w:rPr>
        <w:rFonts w:ascii="Wingdings" w:hAnsi="Wingdings"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43">
    <w:nsid w:val="558B01EB"/>
    <w:lvl w:ilvl="0">
      <w:start w:val="1"/>
      <w:numFmt w:val="decimal"/>
      <w:suff w:val="tab"/>
      <w:lvlText w:val="%1."/>
      <w:pPr>
        <w:spacing/>
        <w:ind w:left="2138" w:hanging="360"/>
      </w:pPr>
      <w:rPr/>
    </w:lvl>
    <w:lvl w:ilvl="1">
      <w:start w:val="1"/>
      <w:numFmt w:val="lowerLetter"/>
      <w:suff w:val="tab"/>
      <w:lvlText w:val="%2."/>
      <w:pPr>
        <w:spacing/>
        <w:ind w:left="2858" w:hanging="360"/>
      </w:pPr>
      <w:rPr/>
    </w:lvl>
    <w:lvl w:ilvl="2">
      <w:start w:val="1"/>
      <w:numFmt w:val="lowerRoman"/>
      <w:suff w:val="tab"/>
      <w:lvlText w:val="%3."/>
      <w:lvlJc w:val="right"/>
      <w:pPr>
        <w:spacing/>
        <w:ind w:left="3578" w:hanging="180"/>
      </w:pPr>
      <w:rPr/>
    </w:lvl>
    <w:lvl w:ilvl="3">
      <w:start w:val="1"/>
      <w:numFmt w:val="decimal"/>
      <w:suff w:val="tab"/>
      <w:lvlText w:val="%4."/>
      <w:pPr>
        <w:spacing/>
        <w:ind w:left="4298" w:hanging="360"/>
      </w:pPr>
      <w:rPr/>
    </w:lvl>
    <w:lvl w:ilvl="4">
      <w:start w:val="1"/>
      <w:numFmt w:val="lowerLetter"/>
      <w:suff w:val="tab"/>
      <w:lvlText w:val="%5."/>
      <w:pPr>
        <w:spacing/>
        <w:ind w:left="5018" w:hanging="360"/>
      </w:pPr>
      <w:rPr/>
    </w:lvl>
    <w:lvl w:ilvl="5">
      <w:start w:val="1"/>
      <w:numFmt w:val="lowerRoman"/>
      <w:suff w:val="tab"/>
      <w:lvlText w:val="%6."/>
      <w:lvlJc w:val="right"/>
      <w:pPr>
        <w:spacing/>
        <w:ind w:left="5738" w:hanging="180"/>
      </w:pPr>
      <w:rPr/>
    </w:lvl>
    <w:lvl w:ilvl="6">
      <w:start w:val="1"/>
      <w:numFmt w:val="decimal"/>
      <w:suff w:val="tab"/>
      <w:lvlText w:val="%7."/>
      <w:pPr>
        <w:spacing/>
        <w:ind w:left="6458" w:hanging="360"/>
      </w:pPr>
      <w:rPr/>
    </w:lvl>
    <w:lvl w:ilvl="7">
      <w:start w:val="1"/>
      <w:numFmt w:val="lowerLetter"/>
      <w:suff w:val="tab"/>
      <w:lvlText w:val="%8."/>
      <w:pPr>
        <w:spacing/>
        <w:ind w:left="7178" w:hanging="360"/>
      </w:pPr>
      <w:rPr/>
    </w:lvl>
    <w:lvl w:ilvl="8">
      <w:start w:val="1"/>
      <w:numFmt w:val="lowerRoman"/>
      <w:suff w:val="tab"/>
      <w:lvlText w:val="%9."/>
      <w:lvlJc w:val="right"/>
      <w:pPr>
        <w:spacing/>
        <w:ind w:left="7898" w:hanging="180"/>
      </w:pPr>
      <w:rPr/>
    </w:lvl>
  </w:abstractNum>
  <w:abstractNum w:abstractNumId="44">
    <w:nsid w:val="5EB16A94"/>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45">
    <w:nsid w:val="604F7F1E"/>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46">
    <w:nsid w:val="643E5A38"/>
    <w:lvl w:ilvl="0">
      <w:start w:val="3"/>
      <w:numFmt w:val="bullet"/>
      <w:suff w:val="tab"/>
      <w:lvlText w:val="–"/>
      <w:pPr>
        <w:spacing/>
        <w:ind w:left="1364" w:hanging="360"/>
      </w:pPr>
      <w:rPr>
        <w:rFonts w:ascii="Times New Roman" w:hAnsi="Times New Roman" w:eastAsia="SimSun" w:cs="Times New Roman" w:hint="default"/>
      </w:rPr>
    </w:lvl>
    <w:lvl w:ilvl="1">
      <w:start w:val="1"/>
      <w:numFmt w:val="bullet"/>
      <w:suff w:val="tab"/>
      <w:lvlText w:val="o"/>
      <w:pPr>
        <w:spacing/>
        <w:ind w:left="2084" w:hanging="360"/>
      </w:pPr>
      <w:rPr>
        <w:rFonts w:ascii="Courier New" w:hAnsi="Courier New" w:cs="Courier New" w:hint="default"/>
      </w:rPr>
    </w:lvl>
    <w:lvl w:ilvl="2">
      <w:start w:val="1"/>
      <w:numFmt w:val="bullet"/>
      <w:suff w:val="tab"/>
      <w:lvlText w:val=""/>
      <w:pPr>
        <w:spacing/>
        <w:ind w:left="2804" w:hanging="360"/>
      </w:pPr>
      <w:rPr>
        <w:rFonts w:ascii="Wingdings" w:hAnsi="Wingdings" w:hint="default"/>
      </w:rPr>
    </w:lvl>
    <w:lvl w:ilvl="3">
      <w:start w:val="1"/>
      <w:numFmt w:val="bullet"/>
      <w:suff w:val="tab"/>
      <w:lvlText w:val=""/>
      <w:pPr>
        <w:spacing/>
        <w:ind w:left="3524" w:hanging="360"/>
      </w:pPr>
      <w:rPr>
        <w:rFonts w:ascii="Symbol" w:hAnsi="Symbol" w:hint="default"/>
      </w:rPr>
    </w:lvl>
    <w:lvl w:ilvl="4">
      <w:start w:val="1"/>
      <w:numFmt w:val="bullet"/>
      <w:suff w:val="tab"/>
      <w:lvlText w:val="o"/>
      <w:pPr>
        <w:spacing/>
        <w:ind w:left="4244" w:hanging="360"/>
      </w:pPr>
      <w:rPr>
        <w:rFonts w:ascii="Courier New" w:hAnsi="Courier New" w:cs="Courier New" w:hint="default"/>
      </w:rPr>
    </w:lvl>
    <w:lvl w:ilvl="5">
      <w:start w:val="1"/>
      <w:numFmt w:val="bullet"/>
      <w:suff w:val="tab"/>
      <w:lvlText w:val=""/>
      <w:pPr>
        <w:spacing/>
        <w:ind w:left="4964" w:hanging="360"/>
      </w:pPr>
      <w:rPr>
        <w:rFonts w:ascii="Wingdings" w:hAnsi="Wingdings" w:hint="default"/>
      </w:rPr>
    </w:lvl>
    <w:lvl w:ilvl="6">
      <w:start w:val="1"/>
      <w:numFmt w:val="bullet"/>
      <w:suff w:val="tab"/>
      <w:lvlText w:val=""/>
      <w:pPr>
        <w:spacing/>
        <w:ind w:left="5684" w:hanging="360"/>
      </w:pPr>
      <w:rPr>
        <w:rFonts w:ascii="Symbol" w:hAnsi="Symbol" w:hint="default"/>
      </w:rPr>
    </w:lvl>
    <w:lvl w:ilvl="7">
      <w:start w:val="1"/>
      <w:numFmt w:val="bullet"/>
      <w:suff w:val="tab"/>
      <w:lvlText w:val="o"/>
      <w:pPr>
        <w:spacing/>
        <w:ind w:left="6404" w:hanging="360"/>
      </w:pPr>
      <w:rPr>
        <w:rFonts w:ascii="Courier New" w:hAnsi="Courier New" w:cs="Courier New" w:hint="default"/>
      </w:rPr>
    </w:lvl>
    <w:lvl w:ilvl="8">
      <w:start w:val="1"/>
      <w:numFmt w:val="bullet"/>
      <w:suff w:val="tab"/>
      <w:lvlText w:val=""/>
      <w:pPr>
        <w:spacing/>
        <w:ind w:left="7124" w:hanging="360"/>
      </w:pPr>
      <w:rPr>
        <w:rFonts w:ascii="Wingdings" w:hAnsi="Wingdings" w:hint="default"/>
      </w:rPr>
    </w:lvl>
  </w:abstractNum>
  <w:abstractNum w:abstractNumId="47">
    <w:nsid w:val="66D95E8D"/>
    <w:lvl w:ilvl="0">
      <w:start w:val="3"/>
      <w:numFmt w:val="bullet"/>
      <w:suff w:val="tab"/>
      <w:lvlText w:val="–"/>
      <w:pPr>
        <w:spacing/>
        <w:ind w:left="1070" w:hanging="360"/>
      </w:pPr>
      <w:rPr>
        <w:rFonts w:ascii="Times New Roman" w:hAnsi="Times New Roman" w:eastAsia="SimSun" w:cs="Times New Roman" w:hint="default"/>
      </w:rPr>
    </w:lvl>
    <w:lvl w:ilvl="1">
      <w:start w:val="1"/>
      <w:numFmt w:val="bullet"/>
      <w:suff w:val="tab"/>
      <w:lvlText w:val="o"/>
      <w:pPr>
        <w:spacing/>
        <w:ind w:left="2215" w:hanging="360"/>
      </w:pPr>
      <w:rPr>
        <w:rFonts w:ascii="Courier New" w:hAnsi="Courier New" w:cs="Courier New" w:hint="default"/>
      </w:rPr>
    </w:lvl>
    <w:lvl w:ilvl="2">
      <w:start w:val="1"/>
      <w:numFmt w:val="bullet"/>
      <w:suff w:val="tab"/>
      <w:lvlText w:val=""/>
      <w:pPr>
        <w:spacing/>
        <w:ind w:left="2935" w:hanging="360"/>
      </w:pPr>
      <w:rPr>
        <w:rFonts w:ascii="Wingdings" w:hAnsi="Wingdings" w:hint="default"/>
      </w:rPr>
    </w:lvl>
    <w:lvl w:ilvl="3">
      <w:start w:val="1"/>
      <w:numFmt w:val="bullet"/>
      <w:suff w:val="tab"/>
      <w:lvlText w:val=""/>
      <w:pPr>
        <w:spacing/>
        <w:ind w:left="3655" w:hanging="360"/>
      </w:pPr>
      <w:rPr>
        <w:rFonts w:ascii="Symbol" w:hAnsi="Symbol" w:hint="default"/>
      </w:rPr>
    </w:lvl>
    <w:lvl w:ilvl="4">
      <w:start w:val="1"/>
      <w:numFmt w:val="bullet"/>
      <w:suff w:val="tab"/>
      <w:lvlText w:val="o"/>
      <w:pPr>
        <w:spacing/>
        <w:ind w:left="4375" w:hanging="360"/>
      </w:pPr>
      <w:rPr>
        <w:rFonts w:ascii="Courier New" w:hAnsi="Courier New" w:cs="Courier New" w:hint="default"/>
      </w:rPr>
    </w:lvl>
    <w:lvl w:ilvl="5">
      <w:start w:val="1"/>
      <w:numFmt w:val="bullet"/>
      <w:suff w:val="tab"/>
      <w:lvlText w:val=""/>
      <w:pPr>
        <w:spacing/>
        <w:ind w:left="5095" w:hanging="360"/>
      </w:pPr>
      <w:rPr>
        <w:rFonts w:ascii="Wingdings" w:hAnsi="Wingdings" w:hint="default"/>
      </w:rPr>
    </w:lvl>
    <w:lvl w:ilvl="6">
      <w:start w:val="1"/>
      <w:numFmt w:val="bullet"/>
      <w:suff w:val="tab"/>
      <w:lvlText w:val=""/>
      <w:pPr>
        <w:spacing/>
        <w:ind w:left="5815" w:hanging="360"/>
      </w:pPr>
      <w:rPr>
        <w:rFonts w:ascii="Symbol" w:hAnsi="Symbol" w:hint="default"/>
      </w:rPr>
    </w:lvl>
    <w:lvl w:ilvl="7">
      <w:start w:val="1"/>
      <w:numFmt w:val="bullet"/>
      <w:suff w:val="tab"/>
      <w:lvlText w:val="o"/>
      <w:pPr>
        <w:spacing/>
        <w:ind w:left="6535" w:hanging="360"/>
      </w:pPr>
      <w:rPr>
        <w:rFonts w:ascii="Courier New" w:hAnsi="Courier New" w:cs="Courier New" w:hint="default"/>
      </w:rPr>
    </w:lvl>
    <w:lvl w:ilvl="8">
      <w:start w:val="1"/>
      <w:numFmt w:val="bullet"/>
      <w:suff w:val="tab"/>
      <w:lvlText w:val=""/>
      <w:pPr>
        <w:spacing/>
        <w:ind w:left="7255" w:hanging="360"/>
      </w:pPr>
      <w:rPr>
        <w:rFonts w:ascii="Wingdings" w:hAnsi="Wingdings" w:hint="default"/>
      </w:rPr>
    </w:lvl>
  </w:abstractNum>
  <w:abstractNum w:abstractNumId="48">
    <w:nsid w:val="67282716"/>
    <w:lvl w:ilvl="0">
      <w:start w:val="1"/>
      <w:numFmt w:val="decimal"/>
      <w:suff w:val="tab"/>
      <w:lvlText w:val="%1."/>
      <w:pPr>
        <w:spacing/>
        <w:ind w:left="390" w:hanging="360"/>
      </w:pPr>
      <w:rPr>
        <w:rFonts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49">
    <w:nsid w:val="68D32818"/>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0">
    <w:nsid w:val="69A405AF"/>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1">
    <w:nsid w:val="6A661EDC"/>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52">
    <w:nsid w:val="6C1C4FE5"/>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3">
    <w:nsid w:val="6D6B60EA"/>
    <w:lvl w:ilvl="0">
      <w:start w:val="3"/>
      <w:numFmt w:val="bullet"/>
      <w:suff w:val="tab"/>
      <w:lvlText w:val="–"/>
      <w:pPr>
        <w:tabs>
          <w:tab w:val="num" w:pos="720"/>
        </w:tabs>
        <w:spacing/>
        <w:ind w:left="720" w:hanging="360"/>
      </w:pPr>
      <w:rPr>
        <w:rFonts w:ascii="Times New Roman" w:hAnsi="Times New Roman" w:eastAsia="SimSun" w:cs="Times New Roman" w:hint="default"/>
        <w:sz w:val="20"/>
      </w:rPr>
    </w:lvl>
    <w:lvl w:ilvl="1">
      <w:start w:val="1"/>
      <w:numFmt w:val="bullet"/>
      <w:suff w:val="tab"/>
      <w:lvlText w:val=""/>
      <w:pPr>
        <w:spacing/>
        <w:ind w:left="1440" w:hanging="360"/>
      </w:pPr>
      <w:rPr>
        <w:rFonts w:ascii="Wingdings" w:hAnsi="Wingdings"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4">
    <w:nsid w:val="6ED2358E"/>
    <w:lvl w:ilvl="0">
      <w:start w:val="5"/>
      <w:numFmt w:val="bullet"/>
      <w:suff w:val="tab"/>
      <w:lvlText w:val="−"/>
      <w:pPr>
        <w:spacing/>
        <w:ind w:left="927" w:hanging="360"/>
      </w:pPr>
      <w:rPr>
        <w:rFonts w:ascii="Times New Roman" w:hAnsi="Times New Roman" w:eastAsia="Times New Roma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55">
    <w:nsid w:val="70A40B7E"/>
    <w:lvl w:ilvl="0">
      <w:start w:val="3"/>
      <w:numFmt w:val="bullet"/>
      <w:suff w:val="tab"/>
      <w:lvlText w:val="–"/>
      <w:pPr>
        <w:spacing/>
        <w:ind w:left="927" w:hanging="360"/>
      </w:pPr>
      <w:rPr>
        <w:rFonts w:ascii="Times New Roman" w:hAnsi="Times New Roman" w:eastAsia="SimSun" w:cs="Times New Roman" w:hint="default"/>
      </w:rPr>
    </w:lvl>
    <w:lvl w:ilvl="1">
      <w:start w:val="1"/>
      <w:numFmt w:val="bullet"/>
      <w:suff w:val="tab"/>
      <w:lvlText w:val="o"/>
      <w:pPr>
        <w:spacing/>
        <w:ind w:left="1647" w:hanging="360"/>
      </w:pPr>
      <w:rPr>
        <w:rFonts w:ascii="Courier New" w:hAnsi="Courier New" w:cs="Courier New" w:hint="default"/>
      </w:rPr>
    </w:lvl>
    <w:lvl w:ilvl="2">
      <w:start w:val="1"/>
      <w:numFmt w:val="bullet"/>
      <w:suff w:val="tab"/>
      <w:lvlText w:val=""/>
      <w:pPr>
        <w:spacing/>
        <w:ind w:left="2367" w:hanging="360"/>
      </w:pPr>
      <w:rPr>
        <w:rFonts w:ascii="Wingdings" w:hAnsi="Wingdings" w:hint="default"/>
      </w:rPr>
    </w:lvl>
    <w:lvl w:ilvl="3">
      <w:start w:val="1"/>
      <w:numFmt w:val="bullet"/>
      <w:suff w:val="tab"/>
      <w:lvlText w:val=""/>
      <w:pPr>
        <w:spacing/>
        <w:ind w:left="3087" w:hanging="360"/>
      </w:pPr>
      <w:rPr>
        <w:rFonts w:ascii="Symbol" w:hAnsi="Symbol" w:hint="default"/>
      </w:rPr>
    </w:lvl>
    <w:lvl w:ilvl="4">
      <w:start w:val="1"/>
      <w:numFmt w:val="bullet"/>
      <w:suff w:val="tab"/>
      <w:lvlText w:val="o"/>
      <w:pPr>
        <w:spacing/>
        <w:ind w:left="3807" w:hanging="360"/>
      </w:pPr>
      <w:rPr>
        <w:rFonts w:ascii="Courier New" w:hAnsi="Courier New" w:cs="Courier New" w:hint="default"/>
      </w:rPr>
    </w:lvl>
    <w:lvl w:ilvl="5">
      <w:start w:val="1"/>
      <w:numFmt w:val="bullet"/>
      <w:suff w:val="tab"/>
      <w:lvlText w:val=""/>
      <w:pPr>
        <w:spacing/>
        <w:ind w:left="4527" w:hanging="360"/>
      </w:pPr>
      <w:rPr>
        <w:rFonts w:ascii="Wingdings" w:hAnsi="Wingdings" w:hint="default"/>
      </w:rPr>
    </w:lvl>
    <w:lvl w:ilvl="6">
      <w:start w:val="1"/>
      <w:numFmt w:val="bullet"/>
      <w:suff w:val="tab"/>
      <w:lvlText w:val=""/>
      <w:pPr>
        <w:spacing/>
        <w:ind w:left="5247" w:hanging="360"/>
      </w:pPr>
      <w:rPr>
        <w:rFonts w:ascii="Symbol" w:hAnsi="Symbol" w:hint="default"/>
      </w:rPr>
    </w:lvl>
    <w:lvl w:ilvl="7">
      <w:start w:val="1"/>
      <w:numFmt w:val="bullet"/>
      <w:suff w:val="tab"/>
      <w:lvlText w:val="o"/>
      <w:pPr>
        <w:spacing/>
        <w:ind w:left="5967" w:hanging="360"/>
      </w:pPr>
      <w:rPr>
        <w:rFonts w:ascii="Courier New" w:hAnsi="Courier New" w:cs="Courier New" w:hint="default"/>
      </w:rPr>
    </w:lvl>
    <w:lvl w:ilvl="8">
      <w:start w:val="1"/>
      <w:numFmt w:val="bullet"/>
      <w:suff w:val="tab"/>
      <w:lvlText w:val=""/>
      <w:pPr>
        <w:spacing/>
        <w:ind w:left="6687" w:hanging="360"/>
      </w:pPr>
      <w:rPr>
        <w:rFonts w:ascii="Wingdings" w:hAnsi="Wingdings" w:hint="default"/>
      </w:rPr>
    </w:lvl>
  </w:abstractNum>
  <w:abstractNum w:abstractNumId="56">
    <w:nsid w:val="70C57DBF"/>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7">
    <w:nsid w:val="730F4B9F"/>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8">
    <w:nsid w:val="75174C9D"/>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59">
    <w:nsid w:val="7624088E"/>
    <w:lvl w:ilvl="0">
      <w:start w:val="3"/>
      <w:numFmt w:val="bullet"/>
      <w:suff w:val="tab"/>
      <w:lvlText w:val="–"/>
      <w:pPr>
        <w:spacing/>
        <w:ind w:left="1636" w:hanging="360"/>
      </w:pPr>
      <w:rPr>
        <w:rFonts w:ascii="Times New Roman" w:hAnsi="Times New Roman" w:eastAsia="SimSun" w:cs="Times New Roman" w:hint="default"/>
      </w:rPr>
    </w:lvl>
    <w:lvl w:ilvl="1">
      <w:start w:val="1"/>
      <w:numFmt w:val="bullet"/>
      <w:suff w:val="tab"/>
      <w:lvlText w:val="o"/>
      <w:pPr>
        <w:spacing/>
        <w:ind w:left="2356" w:hanging="360"/>
      </w:pPr>
      <w:rPr>
        <w:rFonts w:ascii="Courier New" w:hAnsi="Courier New" w:cs="Courier New" w:hint="default"/>
      </w:rPr>
    </w:lvl>
    <w:lvl w:ilvl="2">
      <w:start w:val="3"/>
      <w:numFmt w:val="bullet"/>
      <w:suff w:val="tab"/>
      <w:lvlText w:val="–"/>
      <w:pPr>
        <w:spacing/>
        <w:ind w:left="1146" w:hanging="360"/>
      </w:pPr>
      <w:rPr>
        <w:rFonts w:ascii="Times New Roman" w:hAnsi="Times New Roman" w:eastAsia="SimSun" w:cs="Times New Roman" w:hint="default"/>
        <w:color w:val="auto"/>
      </w:rPr>
    </w:lvl>
    <w:lvl w:ilvl="3">
      <w:start w:val="1"/>
      <w:numFmt w:val="bullet"/>
      <w:suff w:val="tab"/>
      <w:lvlText w:val=""/>
      <w:pPr>
        <w:spacing/>
        <w:ind w:left="3796" w:hanging="360"/>
      </w:pPr>
      <w:rPr>
        <w:rFonts w:ascii="Symbol" w:hAnsi="Symbol" w:hint="default"/>
      </w:rPr>
    </w:lvl>
    <w:lvl w:ilvl="4">
      <w:start w:val="1"/>
      <w:numFmt w:val="bullet"/>
      <w:suff w:val="tab"/>
      <w:lvlText w:val="o"/>
      <w:pPr>
        <w:spacing/>
        <w:ind w:left="4516" w:hanging="360"/>
      </w:pPr>
      <w:rPr>
        <w:rFonts w:ascii="Courier New" w:hAnsi="Courier New" w:cs="Courier New" w:hint="default"/>
      </w:rPr>
    </w:lvl>
    <w:lvl w:ilvl="5">
      <w:start w:val="1"/>
      <w:numFmt w:val="bullet"/>
      <w:suff w:val="tab"/>
      <w:lvlText w:val=""/>
      <w:pPr>
        <w:spacing/>
        <w:ind w:left="5236" w:hanging="360"/>
      </w:pPr>
      <w:rPr>
        <w:rFonts w:ascii="Wingdings" w:hAnsi="Wingdings" w:hint="default"/>
      </w:rPr>
    </w:lvl>
    <w:lvl w:ilvl="6">
      <w:start w:val="1"/>
      <w:numFmt w:val="bullet"/>
      <w:suff w:val="tab"/>
      <w:lvlText w:val=""/>
      <w:pPr>
        <w:spacing/>
        <w:ind w:left="5956" w:hanging="360"/>
      </w:pPr>
      <w:rPr>
        <w:rFonts w:ascii="Symbol" w:hAnsi="Symbol" w:hint="default"/>
      </w:rPr>
    </w:lvl>
    <w:lvl w:ilvl="7">
      <w:start w:val="1"/>
      <w:numFmt w:val="bullet"/>
      <w:suff w:val="tab"/>
      <w:lvlText w:val="o"/>
      <w:pPr>
        <w:spacing/>
        <w:ind w:left="6676" w:hanging="360"/>
      </w:pPr>
      <w:rPr>
        <w:rFonts w:ascii="Courier New" w:hAnsi="Courier New" w:cs="Courier New" w:hint="default"/>
      </w:rPr>
    </w:lvl>
    <w:lvl w:ilvl="8">
      <w:start w:val="1"/>
      <w:numFmt w:val="bullet"/>
      <w:suff w:val="tab"/>
      <w:lvlText w:val=""/>
      <w:pPr>
        <w:spacing/>
        <w:ind w:left="7396" w:hanging="360"/>
      </w:pPr>
      <w:rPr>
        <w:rFonts w:ascii="Wingdings" w:hAnsi="Wingdings" w:hint="default"/>
      </w:rPr>
    </w:lvl>
  </w:abstractNum>
  <w:abstractNum w:abstractNumId="60">
    <w:nsid w:val="77025B83"/>
    <w:lvl w:ilvl="0">
      <w:start w:val="3"/>
      <w:numFmt w:val="bullet"/>
      <w:suff w:val="tab"/>
      <w:lvlText w:val="–"/>
      <w:pPr>
        <w:spacing/>
        <w:ind w:left="1287" w:hanging="360"/>
      </w:pPr>
      <w:rPr>
        <w:rFonts w:ascii="Times New Roman" w:hAnsi="Times New Roman" w:eastAsia="SimSun" w:cs="Times New Roman" w:hint="default"/>
      </w:rPr>
    </w:lvl>
    <w:lvl w:ilvl="1">
      <w:start w:val="1"/>
      <w:numFmt w:val="bullet"/>
      <w:suff w:val="tab"/>
      <w:lvlText w:val="o"/>
      <w:pPr>
        <w:spacing/>
        <w:ind w:left="2007" w:hanging="360"/>
      </w:pPr>
      <w:rPr>
        <w:rFonts w:ascii="Courier New" w:hAnsi="Courier New" w:cs="Courier New" w:hint="default"/>
      </w:rPr>
    </w:lvl>
    <w:lvl w:ilvl="2">
      <w:start w:val="1"/>
      <w:numFmt w:val="bullet"/>
      <w:suff w:val="tab"/>
      <w:lvlText w:val=""/>
      <w:pPr>
        <w:spacing/>
        <w:ind w:left="2727" w:hanging="360"/>
      </w:pPr>
      <w:rPr>
        <w:rFonts w:ascii="Wingdings" w:hAnsi="Wingdings" w:hint="default"/>
      </w:rPr>
    </w:lvl>
    <w:lvl w:ilvl="3">
      <w:start w:val="1"/>
      <w:numFmt w:val="bullet"/>
      <w:suff w:val="tab"/>
      <w:lvlText w:val=""/>
      <w:pPr>
        <w:spacing/>
        <w:ind w:left="3447" w:hanging="360"/>
      </w:pPr>
      <w:rPr>
        <w:rFonts w:ascii="Symbol" w:hAnsi="Symbol" w:hint="default"/>
      </w:rPr>
    </w:lvl>
    <w:lvl w:ilvl="4">
      <w:start w:val="1"/>
      <w:numFmt w:val="bullet"/>
      <w:suff w:val="tab"/>
      <w:lvlText w:val="o"/>
      <w:pPr>
        <w:spacing/>
        <w:ind w:left="4167" w:hanging="360"/>
      </w:pPr>
      <w:rPr>
        <w:rFonts w:ascii="Courier New" w:hAnsi="Courier New" w:cs="Courier New" w:hint="default"/>
      </w:rPr>
    </w:lvl>
    <w:lvl w:ilvl="5">
      <w:start w:val="1"/>
      <w:numFmt w:val="bullet"/>
      <w:suff w:val="tab"/>
      <w:lvlText w:val=""/>
      <w:pPr>
        <w:spacing/>
        <w:ind w:left="4887" w:hanging="360"/>
      </w:pPr>
      <w:rPr>
        <w:rFonts w:ascii="Wingdings" w:hAnsi="Wingdings" w:hint="default"/>
      </w:rPr>
    </w:lvl>
    <w:lvl w:ilvl="6">
      <w:start w:val="1"/>
      <w:numFmt w:val="bullet"/>
      <w:suff w:val="tab"/>
      <w:lvlText w:val=""/>
      <w:pPr>
        <w:spacing/>
        <w:ind w:left="5607" w:hanging="360"/>
      </w:pPr>
      <w:rPr>
        <w:rFonts w:ascii="Symbol" w:hAnsi="Symbol" w:hint="default"/>
      </w:rPr>
    </w:lvl>
    <w:lvl w:ilvl="7">
      <w:start w:val="1"/>
      <w:numFmt w:val="bullet"/>
      <w:suff w:val="tab"/>
      <w:lvlText w:val="o"/>
      <w:pPr>
        <w:spacing/>
        <w:ind w:left="6327" w:hanging="360"/>
      </w:pPr>
      <w:rPr>
        <w:rFonts w:ascii="Courier New" w:hAnsi="Courier New" w:cs="Courier New" w:hint="default"/>
      </w:rPr>
    </w:lvl>
    <w:lvl w:ilvl="8">
      <w:start w:val="1"/>
      <w:numFmt w:val="bullet"/>
      <w:suff w:val="tab"/>
      <w:lvlText w:val=""/>
      <w:pPr>
        <w:spacing/>
        <w:ind w:left="7047" w:hanging="360"/>
      </w:pPr>
      <w:rPr>
        <w:rFonts w:ascii="Wingdings" w:hAnsi="Wingdings" w:hint="default"/>
      </w:rPr>
    </w:lvl>
  </w:abstractNum>
  <w:abstractNum w:abstractNumId="61">
    <w:nsid w:val="797974B1"/>
    <w:lvl w:ilvl="0">
      <w:start w:val="1"/>
      <w:numFmt w:val="decimal"/>
      <w:suff w:val="tab"/>
      <w:lvlText w:val="%1."/>
      <w:pPr>
        <w:spacing/>
        <w:ind w:left="390" w:hanging="360"/>
      </w:pPr>
      <w:rPr>
        <w:rFonts w:hint="default"/>
        <w:i w:val="0"/>
        <w:iCs w:val="0"/>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62">
    <w:nsid w:val="7B3C0C0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63">
    <w:nsid w:val="7C841AF5"/>
    <w:lvl w:ilvl="0">
      <w:start w:val="1"/>
      <w:numFmt w:val="bullet"/>
      <w:suff w:val="tab"/>
      <w:lvlText w:val=""/>
      <w:pPr>
        <w:tabs>
          <w:tab w:val="num" w:pos="720"/>
        </w:tabs>
        <w:spacing/>
        <w:ind w:left="720" w:hanging="360"/>
      </w:pPr>
      <w:rPr>
        <w:rFonts w:ascii="Wingdings" w:hAnsi="Wingdings" w:hint="default"/>
        <w:sz w:val="20"/>
      </w:rPr>
    </w:lvl>
    <w:lvl w:ilvl="1">
      <w:start w:val="1"/>
      <w:numFmt w:val="bullet"/>
      <w:suff w:val="tab"/>
      <w:lvlText w:val=""/>
      <w:pPr>
        <w:tabs>
          <w:tab w:val="num" w:pos="1440"/>
        </w:tabs>
        <w:spacing/>
        <w:ind w:left="1440" w:hanging="360"/>
      </w:pPr>
      <w:rPr>
        <w:rFonts w:ascii="Wingdings" w:hAnsi="Wingdings"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64">
    <w:nsid w:val="7C884BAE"/>
    <w:lvl w:ilvl="0">
      <w:start w:val="3"/>
      <w:numFmt w:val="bullet"/>
      <w:suff w:val="tab"/>
      <w:lvlText w:val="–"/>
      <w:pPr>
        <w:spacing/>
        <w:ind w:left="1996" w:hanging="360"/>
      </w:pPr>
      <w:rPr>
        <w:rFonts w:ascii="Times New Roman" w:hAnsi="Times New Roman" w:eastAsia="SimSun" w:cs="Times New Roman" w:hint="default"/>
      </w:rPr>
    </w:lvl>
    <w:lvl w:ilvl="1">
      <w:start w:val="1"/>
      <w:numFmt w:val="bullet"/>
      <w:suff w:val="tab"/>
      <w:lvlText w:val="o"/>
      <w:pPr>
        <w:spacing/>
        <w:ind w:left="2716" w:hanging="360"/>
      </w:pPr>
      <w:rPr>
        <w:rFonts w:ascii="Courier New" w:hAnsi="Courier New" w:cs="Courier New" w:hint="default"/>
      </w:rPr>
    </w:lvl>
    <w:lvl w:ilvl="2">
      <w:start w:val="1"/>
      <w:numFmt w:val="bullet"/>
      <w:suff w:val="tab"/>
      <w:lvlText w:val=""/>
      <w:pPr>
        <w:spacing/>
        <w:ind w:left="3436" w:hanging="360"/>
      </w:pPr>
      <w:rPr>
        <w:rFonts w:ascii="Wingdings" w:hAnsi="Wingdings" w:hint="default"/>
      </w:rPr>
    </w:lvl>
    <w:lvl w:ilvl="3">
      <w:start w:val="1"/>
      <w:numFmt w:val="bullet"/>
      <w:suff w:val="tab"/>
      <w:lvlText w:val=""/>
      <w:pPr>
        <w:spacing/>
        <w:ind w:left="4156" w:hanging="360"/>
      </w:pPr>
      <w:rPr>
        <w:rFonts w:ascii="Symbol" w:hAnsi="Symbol" w:hint="default"/>
      </w:rPr>
    </w:lvl>
    <w:lvl w:ilvl="4">
      <w:start w:val="1"/>
      <w:numFmt w:val="bullet"/>
      <w:suff w:val="tab"/>
      <w:lvlText w:val="o"/>
      <w:pPr>
        <w:spacing/>
        <w:ind w:left="4876" w:hanging="360"/>
      </w:pPr>
      <w:rPr>
        <w:rFonts w:ascii="Courier New" w:hAnsi="Courier New" w:cs="Courier New" w:hint="default"/>
      </w:rPr>
    </w:lvl>
    <w:lvl w:ilvl="5">
      <w:start w:val="1"/>
      <w:numFmt w:val="bullet"/>
      <w:suff w:val="tab"/>
      <w:lvlText w:val=""/>
      <w:pPr>
        <w:spacing/>
        <w:ind w:left="5596" w:hanging="360"/>
      </w:pPr>
      <w:rPr>
        <w:rFonts w:ascii="Wingdings" w:hAnsi="Wingdings" w:hint="default"/>
      </w:rPr>
    </w:lvl>
    <w:lvl w:ilvl="6">
      <w:start w:val="1"/>
      <w:numFmt w:val="bullet"/>
      <w:suff w:val="tab"/>
      <w:lvlText w:val=""/>
      <w:pPr>
        <w:spacing/>
        <w:ind w:left="6316" w:hanging="360"/>
      </w:pPr>
      <w:rPr>
        <w:rFonts w:ascii="Symbol" w:hAnsi="Symbol" w:hint="default"/>
      </w:rPr>
    </w:lvl>
    <w:lvl w:ilvl="7">
      <w:start w:val="1"/>
      <w:numFmt w:val="bullet"/>
      <w:suff w:val="tab"/>
      <w:lvlText w:val="o"/>
      <w:pPr>
        <w:spacing/>
        <w:ind w:left="7036" w:hanging="360"/>
      </w:pPr>
      <w:rPr>
        <w:rFonts w:ascii="Courier New" w:hAnsi="Courier New" w:cs="Courier New" w:hint="default"/>
      </w:rPr>
    </w:lvl>
    <w:lvl w:ilvl="8">
      <w:start w:val="1"/>
      <w:numFmt w:val="bullet"/>
      <w:suff w:val="tab"/>
      <w:lvlText w:val=""/>
      <w:pPr>
        <w:spacing/>
        <w:ind w:left="7756" w:hanging="360"/>
      </w:pPr>
      <w:rPr>
        <w:rFonts w:ascii="Wingdings" w:hAnsi="Wingdings" w:hint="default"/>
      </w:rPr>
    </w:lvl>
  </w:abstractNum>
  <w:abstractNum w:abstractNumId="65">
    <w:nsid w:val="7CB62872"/>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
      <w:pPr>
        <w:tabs>
          <w:tab w:val="num" w:pos="1440"/>
        </w:tabs>
        <w:spacing/>
        <w:ind w:left="1440" w:hanging="360"/>
      </w:pPr>
      <w:rPr>
        <w:rFonts w:ascii="Symbol" w:hAnsi="Symbol" w:hint="default"/>
        <w:sz w:val="20"/>
      </w:rPr>
    </w:lvl>
    <w:lvl w:ilvl="2">
      <w:start w:val="1"/>
      <w:numFmt w:val="bullet"/>
      <w:suff w:val="tab"/>
      <w:lvlText w:val=""/>
      <w:pPr>
        <w:tabs>
          <w:tab w:val="num" w:pos="2160"/>
        </w:tabs>
        <w:spacing/>
        <w:ind w:left="2160" w:hanging="360"/>
      </w:pPr>
      <w:rPr>
        <w:rFonts w:ascii="Symbol" w:hAnsi="Symbol" w:hint="default"/>
        <w:sz w:val="20"/>
      </w:rPr>
    </w:lvl>
    <w:lvl w:ilvl="3">
      <w:start w:val="1"/>
      <w:numFmt w:val="bullet"/>
      <w:suff w:val="tab"/>
      <w:lvlText w:val=""/>
      <w:pPr>
        <w:tabs>
          <w:tab w:val="num" w:pos="2880"/>
        </w:tabs>
        <w:spacing/>
        <w:ind w:left="2880" w:hanging="360"/>
      </w:pPr>
      <w:rPr>
        <w:rFonts w:ascii="Symbol" w:hAnsi="Symbol" w:hint="default"/>
        <w:sz w:val="20"/>
      </w:rPr>
    </w:lvl>
    <w:lvl w:ilvl="4">
      <w:start w:val="1"/>
      <w:numFmt w:val="bullet"/>
      <w:suff w:val="tab"/>
      <w:lvlText w:val=""/>
      <w:pPr>
        <w:tabs>
          <w:tab w:val="num" w:pos="3600"/>
        </w:tabs>
        <w:spacing/>
        <w:ind w:left="3600" w:hanging="360"/>
      </w:pPr>
      <w:rPr>
        <w:rFonts w:ascii="Symbol" w:hAnsi="Symbol" w:hint="default"/>
        <w:sz w:val="20"/>
      </w:rPr>
    </w:lvl>
    <w:lvl w:ilvl="5">
      <w:start w:val="1"/>
      <w:numFmt w:val="bullet"/>
      <w:suff w:val="tab"/>
      <w:lvlText w:val=""/>
      <w:pPr>
        <w:tabs>
          <w:tab w:val="num" w:pos="4320"/>
        </w:tabs>
        <w:spacing/>
        <w:ind w:left="4320" w:hanging="360"/>
      </w:pPr>
      <w:rPr>
        <w:rFonts w:ascii="Symbol" w:hAnsi="Symbol" w:hint="default"/>
        <w:sz w:val="20"/>
      </w:rPr>
    </w:lvl>
    <w:lvl w:ilvl="6">
      <w:start w:val="1"/>
      <w:numFmt w:val="bullet"/>
      <w:suff w:val="tab"/>
      <w:lvlText w:val=""/>
      <w:pPr>
        <w:tabs>
          <w:tab w:val="num" w:pos="5040"/>
        </w:tabs>
        <w:spacing/>
        <w:ind w:left="5040" w:hanging="360"/>
      </w:pPr>
      <w:rPr>
        <w:rFonts w:ascii="Symbol" w:hAnsi="Symbol" w:hint="default"/>
        <w:sz w:val="20"/>
      </w:rPr>
    </w:lvl>
    <w:lvl w:ilvl="7">
      <w:start w:val="1"/>
      <w:numFmt w:val="bullet"/>
      <w:suff w:val="tab"/>
      <w:lvlText w:val=""/>
      <w:pPr>
        <w:tabs>
          <w:tab w:val="num" w:pos="5760"/>
        </w:tabs>
        <w:spacing/>
        <w:ind w:left="5760" w:hanging="360"/>
      </w:pPr>
      <w:rPr>
        <w:rFonts w:ascii="Symbol" w:hAnsi="Symbol" w:hint="default"/>
        <w:sz w:val="20"/>
      </w:rPr>
    </w:lvl>
    <w:lvl w:ilvl="8">
      <w:start w:val="1"/>
      <w:numFmt w:val="bullet"/>
      <w:suff w:val="tab"/>
      <w:lvlText w:val=""/>
      <w:pPr>
        <w:tabs>
          <w:tab w:val="num" w:pos="6480"/>
        </w:tabs>
        <w:spacing/>
        <w:ind w:left="6480" w:hanging="360"/>
      </w:pPr>
      <w:rPr>
        <w:rFonts w:ascii="Symbol" w:hAnsi="Symbol" w:hint="default"/>
        <w:sz w:val="20"/>
      </w:rPr>
    </w:lvl>
  </w:abstractNum>
  <w:abstractNum w:abstractNumId="66">
    <w:nsid w:val="7EB1163B"/>
    <w:lvl w:ilvl="0">
      <w:start w:val="3"/>
      <w:numFmt w:val="bullet"/>
      <w:suff w:val="tab"/>
      <w:lvlText w:val="–"/>
      <w:pPr>
        <w:spacing/>
        <w:ind w:left="2295" w:hanging="360"/>
      </w:pPr>
      <w:rPr>
        <w:rFonts w:ascii="Times New Roman" w:hAnsi="Times New Roman" w:eastAsia="SimSun" w:cs="Times New Roman" w:hint="default"/>
      </w:rPr>
    </w:lvl>
    <w:lvl w:ilvl="1">
      <w:start w:val="1"/>
      <w:numFmt w:val="bullet"/>
      <w:suff w:val="tab"/>
      <w:lvlText w:val="o"/>
      <w:pPr>
        <w:spacing/>
        <w:ind w:left="3015" w:hanging="360"/>
      </w:pPr>
      <w:rPr>
        <w:rFonts w:ascii="Courier New" w:hAnsi="Courier New" w:cs="Courier New" w:hint="default"/>
      </w:rPr>
    </w:lvl>
    <w:lvl w:ilvl="2">
      <w:start w:val="1"/>
      <w:numFmt w:val="bullet"/>
      <w:suff w:val="tab"/>
      <w:lvlText w:val=""/>
      <w:pPr>
        <w:spacing/>
        <w:ind w:left="3735" w:hanging="360"/>
      </w:pPr>
      <w:rPr>
        <w:rFonts w:ascii="Wingdings" w:hAnsi="Wingdings" w:hint="default"/>
      </w:rPr>
    </w:lvl>
    <w:lvl w:ilvl="3">
      <w:start w:val="1"/>
      <w:numFmt w:val="bullet"/>
      <w:suff w:val="tab"/>
      <w:lvlText w:val=""/>
      <w:pPr>
        <w:spacing/>
        <w:ind w:left="4455" w:hanging="360"/>
      </w:pPr>
      <w:rPr>
        <w:rFonts w:ascii="Symbol" w:hAnsi="Symbol" w:hint="default"/>
      </w:rPr>
    </w:lvl>
    <w:lvl w:ilvl="4">
      <w:start w:val="1"/>
      <w:numFmt w:val="bullet"/>
      <w:suff w:val="tab"/>
      <w:lvlText w:val="o"/>
      <w:pPr>
        <w:spacing/>
        <w:ind w:left="5175" w:hanging="360"/>
      </w:pPr>
      <w:rPr>
        <w:rFonts w:ascii="Courier New" w:hAnsi="Courier New" w:cs="Courier New" w:hint="default"/>
      </w:rPr>
    </w:lvl>
    <w:lvl w:ilvl="5">
      <w:start w:val="1"/>
      <w:numFmt w:val="bullet"/>
      <w:suff w:val="tab"/>
      <w:lvlText w:val=""/>
      <w:pPr>
        <w:spacing/>
        <w:ind w:left="5895" w:hanging="360"/>
      </w:pPr>
      <w:rPr>
        <w:rFonts w:ascii="Wingdings" w:hAnsi="Wingdings" w:hint="default"/>
      </w:rPr>
    </w:lvl>
    <w:lvl w:ilvl="6">
      <w:start w:val="1"/>
      <w:numFmt w:val="bullet"/>
      <w:suff w:val="tab"/>
      <w:lvlText w:val=""/>
      <w:pPr>
        <w:spacing/>
        <w:ind w:left="6615" w:hanging="360"/>
      </w:pPr>
      <w:rPr>
        <w:rFonts w:ascii="Symbol" w:hAnsi="Symbol" w:hint="default"/>
      </w:rPr>
    </w:lvl>
    <w:lvl w:ilvl="7">
      <w:start w:val="1"/>
      <w:numFmt w:val="bullet"/>
      <w:suff w:val="tab"/>
      <w:lvlText w:val="o"/>
      <w:pPr>
        <w:spacing/>
        <w:ind w:left="7335" w:hanging="360"/>
      </w:pPr>
      <w:rPr>
        <w:rFonts w:ascii="Courier New" w:hAnsi="Courier New" w:cs="Courier New" w:hint="default"/>
      </w:rPr>
    </w:lvl>
    <w:lvl w:ilvl="8">
      <w:start w:val="1"/>
      <w:numFmt w:val="bullet"/>
      <w:suff w:val="tab"/>
      <w:lvlText w:val=""/>
      <w:pPr>
        <w:spacing/>
        <w:ind w:left="8055" w:hanging="360"/>
      </w:pPr>
      <w:rPr>
        <w:rFonts w:ascii="Wingdings" w:hAnsi="Wingdings" w:hint="default"/>
      </w:rPr>
    </w:lvl>
  </w:abstractNum>
  <w:abstractNum w:abstractNumId="67">
    <w:nsid w:val="7F566A06"/>
    <w:lvl w:ilvl="0">
      <w:start w:val="1"/>
      <w:numFmt w:val="decimal"/>
      <w:suff w:val="tab"/>
      <w:lvlText w:val="%1."/>
      <w:pPr>
        <w:spacing/>
        <w:ind w:left="390" w:hanging="360"/>
      </w:pPr>
      <w:rPr>
        <w:rFonts w:eastAsia="Times New Roman" w:hint="default"/>
      </w:rPr>
    </w:lvl>
    <w:lvl w:ilvl="1">
      <w:start w:val="1"/>
      <w:numFmt w:val="lowerLetter"/>
      <w:suff w:val="tab"/>
      <w:lvlText w:val="%2."/>
      <w:pPr>
        <w:spacing/>
        <w:ind w:left="1110" w:hanging="360"/>
      </w:pPr>
      <w:rPr/>
    </w:lvl>
    <w:lvl w:ilvl="2">
      <w:start w:val="1"/>
      <w:numFmt w:val="lowerRoman"/>
      <w:suff w:val="tab"/>
      <w:lvlText w:val="%3."/>
      <w:lvlJc w:val="right"/>
      <w:pPr>
        <w:spacing/>
        <w:ind w:left="1830" w:hanging="180"/>
      </w:pPr>
      <w:rPr/>
    </w:lvl>
    <w:lvl w:ilvl="3">
      <w:start w:val="1"/>
      <w:numFmt w:val="decimal"/>
      <w:suff w:val="tab"/>
      <w:lvlText w:val="%4."/>
      <w:pPr>
        <w:spacing/>
        <w:ind w:left="2550" w:hanging="360"/>
      </w:pPr>
      <w:rPr/>
    </w:lvl>
    <w:lvl w:ilvl="4">
      <w:start w:val="1"/>
      <w:numFmt w:val="lowerLetter"/>
      <w:suff w:val="tab"/>
      <w:lvlText w:val="%5."/>
      <w:pPr>
        <w:spacing/>
        <w:ind w:left="3270" w:hanging="360"/>
      </w:pPr>
      <w:rPr/>
    </w:lvl>
    <w:lvl w:ilvl="5">
      <w:start w:val="1"/>
      <w:numFmt w:val="lowerRoman"/>
      <w:suff w:val="tab"/>
      <w:lvlText w:val="%6."/>
      <w:lvlJc w:val="right"/>
      <w:pPr>
        <w:spacing/>
        <w:ind w:left="3990" w:hanging="180"/>
      </w:pPr>
      <w:rPr/>
    </w:lvl>
    <w:lvl w:ilvl="6">
      <w:start w:val="1"/>
      <w:numFmt w:val="decimal"/>
      <w:suff w:val="tab"/>
      <w:lvlText w:val="%7."/>
      <w:pPr>
        <w:spacing/>
        <w:ind w:left="4710" w:hanging="360"/>
      </w:pPr>
      <w:rPr/>
    </w:lvl>
    <w:lvl w:ilvl="7">
      <w:start w:val="1"/>
      <w:numFmt w:val="lowerLetter"/>
      <w:suff w:val="tab"/>
      <w:lvlText w:val="%8."/>
      <w:pPr>
        <w:spacing/>
        <w:ind w:left="5430" w:hanging="360"/>
      </w:pPr>
      <w:rPr/>
    </w:lvl>
    <w:lvl w:ilvl="8">
      <w:start w:val="1"/>
      <w:numFmt w:val="lowerRoman"/>
      <w:suff w:val="tab"/>
      <w:lvlText w:val="%9."/>
      <w:lvlJc w:val="right"/>
      <w:pPr>
        <w:spacing/>
        <w:ind w:left="6150" w:hanging="180"/>
      </w:pPr>
      <w:rPr/>
    </w:lvl>
  </w:abstractNum>
  <w:abstractNum w:abstractNumId="68">
    <w:nsid w:val="7FAB1BC5"/>
    <w:lvl w:ilvl="0">
      <w:start w:val="1"/>
      <w:numFmt w:val="bullet"/>
      <w:suff w:val="tab"/>
      <w:lvlText w:val="o"/>
      <w:pPr>
        <w:tabs>
          <w:tab w:val="num" w:pos="720"/>
        </w:tabs>
        <w:spacing/>
        <w:ind w:left="720" w:hanging="360"/>
      </w:pPr>
      <w:rPr>
        <w:rFonts w:ascii="Courier New" w:hAnsi="Courier New"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o"/>
      <w:pPr>
        <w:tabs>
          <w:tab w:val="num" w:pos="2160"/>
        </w:tabs>
        <w:spacing/>
        <w:ind w:left="2160" w:hanging="360"/>
      </w:pPr>
      <w:rPr>
        <w:rFonts w:ascii="Courier New" w:hAnsi="Courier New" w:hint="default"/>
        <w:sz w:val="20"/>
      </w:rPr>
    </w:lvl>
    <w:lvl w:ilvl="3">
      <w:start w:val="1"/>
      <w:numFmt w:val="bullet"/>
      <w:suff w:val="tab"/>
      <w:lvlText w:val="o"/>
      <w:pPr>
        <w:tabs>
          <w:tab w:val="num" w:pos="2880"/>
        </w:tabs>
        <w:spacing/>
        <w:ind w:left="2880" w:hanging="360"/>
      </w:pPr>
      <w:rPr>
        <w:rFonts w:ascii="Courier New" w:hAnsi="Courier New" w:hint="default"/>
        <w:sz w:val="20"/>
      </w:rPr>
    </w:lvl>
    <w:lvl w:ilvl="4">
      <w:start w:val="1"/>
      <w:numFmt w:val="bullet"/>
      <w:suff w:val="tab"/>
      <w:lvlText w:val="o"/>
      <w:pPr>
        <w:tabs>
          <w:tab w:val="num" w:pos="3600"/>
        </w:tabs>
        <w:spacing/>
        <w:ind w:left="3600" w:hanging="360"/>
      </w:pPr>
      <w:rPr>
        <w:rFonts w:ascii="Courier New" w:hAnsi="Courier New" w:hint="default"/>
        <w:sz w:val="20"/>
      </w:rPr>
    </w:lvl>
    <w:lvl w:ilvl="5">
      <w:start w:val="1"/>
      <w:numFmt w:val="bullet"/>
      <w:suff w:val="tab"/>
      <w:lvlText w:val="o"/>
      <w:pPr>
        <w:tabs>
          <w:tab w:val="num" w:pos="4320"/>
        </w:tabs>
        <w:spacing/>
        <w:ind w:left="4320" w:hanging="360"/>
      </w:pPr>
      <w:rPr>
        <w:rFonts w:ascii="Courier New" w:hAnsi="Courier New" w:hint="default"/>
        <w:sz w:val="20"/>
      </w:rPr>
    </w:lvl>
    <w:lvl w:ilvl="6">
      <w:start w:val="1"/>
      <w:numFmt w:val="bullet"/>
      <w:suff w:val="tab"/>
      <w:lvlText w:val="o"/>
      <w:pPr>
        <w:tabs>
          <w:tab w:val="num" w:pos="5040"/>
        </w:tabs>
        <w:spacing/>
        <w:ind w:left="5040" w:hanging="360"/>
      </w:pPr>
      <w:rPr>
        <w:rFonts w:ascii="Courier New" w:hAnsi="Courier New" w:hint="default"/>
        <w:sz w:val="20"/>
      </w:rPr>
    </w:lvl>
    <w:lvl w:ilvl="7">
      <w:start w:val="1"/>
      <w:numFmt w:val="bullet"/>
      <w:suff w:val="tab"/>
      <w:lvlText w:val="o"/>
      <w:pPr>
        <w:tabs>
          <w:tab w:val="num" w:pos="5760"/>
        </w:tabs>
        <w:spacing/>
        <w:ind w:left="5760" w:hanging="360"/>
      </w:pPr>
      <w:rPr>
        <w:rFonts w:ascii="Courier New" w:hAnsi="Courier New" w:hint="default"/>
        <w:sz w:val="20"/>
      </w:rPr>
    </w:lvl>
    <w:lvl w:ilvl="8">
      <w:start w:val="1"/>
      <w:numFmt w:val="bullet"/>
      <w:suff w:val="tab"/>
      <w:lvlText w:val="o"/>
      <w:pPr>
        <w:tabs>
          <w:tab w:val="num" w:pos="6480"/>
        </w:tabs>
        <w:spacing/>
        <w:ind w:left="6480" w:hanging="360"/>
      </w:pPr>
      <w:rPr>
        <w:rFonts w:ascii="Courier New" w:hAnsi="Courier New"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hAnsi="Arial Narrow" w:eastAsiaTheme="minorHAnsi" w:cstheme="minorBidi"/>
        <w:szCs w:val="22"/>
        <w:lang w:val="lt-LT" w:eastAsia="en-US" w:bidi="ar-SA"/>
      </w:rPr>
    </w:rPrDefault>
    <w:pPrDefault>
      <w:pPr>
        <w:spacing/>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jc w:val="both"/>
    </w:pPr>
    <w:rPr>
      <w:rFonts w:ascii="Times New Roman" w:hAnsi="Times New Roman" w:eastAsia="Times New Roman" w:cs="Times New Roman"/>
      <w:sz w:val="24"/>
      <w:szCs w:val="20"/>
    </w:rPr>
  </w:style>
  <w:style w:type="paragraph" w:styleId="Heading1">
    <w:name w:val="Heading 1"/>
    <w:basedOn w:val="Normal"/>
    <w:next w:val="Normal"/>
    <w:link w:val="Heading1Char"/>
    <w:uiPriority w:val="9"/>
    <w:qFormat/>
    <w:pPr>
      <w:keepNext/>
      <w:keepLines/>
      <w:spacing w:before="240"/>
      <w:jc w:val="left"/>
      <w:outlineLvl w:val="0"/>
    </w:pPr>
    <w:rPr>
      <w:rFonts w:asciiTheme="majorHAnsi" w:hAnsiTheme="majorHAnsi" w:eastAsiaTheme="majorEastAsia" w:cstheme="majorBidi"/>
      <w:color w:val="2F5496"/>
      <w:sz w:val="32"/>
      <w:szCs w:val="32"/>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HeaderChar" w:customStyle="1">
    <w:name w:val="Header Char"/>
    <w:basedOn w:val="DefaultParagraphFont"/>
    <w:link w:val="Header"/>
    <w:uiPriority w:val="99"/>
    <w:rPr/>
  </w:style>
  <w:style w:type="paragraph" w:styleId="Footer">
    <w:name w:val="Footer"/>
    <w:basedOn w:val="Normal"/>
    <w:link w:val="FooterChar"/>
    <w:uiPriority w:val="99"/>
    <w:unhideWhenUsed/>
    <w:pPr>
      <w:tabs>
        <w:tab w:val="center" w:pos="4819"/>
        <w:tab w:val="right" w:pos="9638"/>
      </w:tabs>
      <w:spacing/>
      <w:jc w:val="left"/>
    </w:pPr>
    <w:rPr>
      <w:rFonts w:ascii="Arial Narrow" w:hAnsi="Arial Narrow" w:eastAsiaTheme="minorHAnsi" w:cstheme="minorBidi"/>
      <w:sz w:val="20"/>
      <w:szCs w:val="22"/>
    </w:rPr>
  </w:style>
  <w:style w:type="character" w:styleId="FooterChar" w:customStyle="1">
    <w:name w:val="Footer Char"/>
    <w:basedOn w:val="DefaultParagraphFont"/>
    <w:link w:val="Footer"/>
    <w:uiPriority w:val="99"/>
    <w:rPr/>
  </w:style>
  <w:style w:type="table" w:styleId="TableGrid">
    <w:name w:val="Table Grid"/>
    <w:basedOn w:val="TableNormal"/>
    <w:uiPriority w:val="59"/>
    <w:pPr>
      <w:spacing/>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jc w:val="left"/>
    </w:pPr>
    <w:rPr>
      <w:rFonts w:ascii="Arial Narrow" w:hAnsi="Arial Narrow" w:eastAsiaTheme="minorHAnsi" w:cstheme="minorBidi"/>
      <w:sz w:val="20"/>
      <w:szCs w:val="22"/>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sz w:val="32"/>
      <w:szCs w:val="32"/>
    </w:rPr>
  </w:style>
  <w:style w:type="character" w:styleId="Hyperlink">
    <w:name w:val="Hyperlink"/>
    <w:basedOn w:val="DefaultParagraphFont"/>
    <w:uiPriority w:val="99"/>
    <w:unhideWhenUsed/>
    <w:rPr>
      <w:color w:val="0563C1"/>
      <w:u w:val="single"/>
    </w:rPr>
  </w:style>
  <w:style w:type="character" w:styleId="UnresolvedMention1" w:customStyle="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u w:val="single"/>
    </w:rPr>
  </w:style>
  <w:style w:type="character" w:styleId="PlaceholderText1" w:customStyle="1">
    <w:name w:val="Placeholder Text1"/>
    <w:basedOn w:val="DefaultParagraphFont"/>
    <w:uiPriority w:val="99"/>
    <w:semiHidden/>
    <w:rPr>
      <w:color w:val="808080"/>
    </w:rPr>
  </w:style>
  <w:style w:type="character" w:styleId="ListParagraphChar" w:customStyle="1">
    <w:name w:val="List Paragraph Char"/>
    <w:basedOn w:val="DefaultParagraphFont"/>
    <w:link w:val="ListParagraph"/>
    <w:uiPriority w:val="34"/>
    <w:qFormat/>
    <w:rPr/>
  </w:style>
  <w:style w:type="paragraph" w:styleId="Default" w:customStyle="1">
    <w:name w:val="Default"/>
    <w:pPr>
      <w:autoSpaceDE w:val="false"/>
      <w:autoSpaceDN w:val="false"/>
      <w:adjustRightInd w:val="false"/>
      <w:spacing/>
    </w:pPr>
    <w:rPr>
      <w:rFonts w:ascii="Times New Roman" w:hAnsi="Times New Roman" w:eastAsia="Times New Roman" w:cs="Times New Roman"/>
      <w:color w:val="000000"/>
      <w:sz w:val="24"/>
      <w:szCs w:val="24"/>
      <w:lang w:eastAsia="lt-LT"/>
    </w:rPr>
  </w:style>
  <w:style w:type="character" w:styleId="CommentReference1" w:customStyle="1">
    <w:name w:val="Comment Reference1"/>
    <w:basedOn w:val="DefaultParagraphFont"/>
    <w:uiPriority w:val="99"/>
    <w:semiHidden/>
    <w:unhideWhenUsed/>
    <w:rPr>
      <w:sz w:val="16"/>
      <w:szCs w:val="16"/>
    </w:rPr>
  </w:style>
  <w:style w:type="paragraph" w:styleId="CommentText1" w:customStyle="1">
    <w:name w:val="Comment Text1"/>
    <w:basedOn w:val="Normal"/>
    <w:link w:val="CommentTextChar"/>
    <w:uiPriority w:val="99"/>
    <w:unhideWhenUsed/>
    <w:pPr>
      <w:spacing/>
    </w:pPr>
    <w:rPr>
      <w:sz w:val="20"/>
    </w:rPr>
  </w:style>
  <w:style w:type="character" w:styleId="CommentTextChar" w:customStyle="1">
    <w:name w:val="Comment Text Char"/>
    <w:basedOn w:val="DefaultParagraphFont"/>
    <w:link w:val="CommentText1"/>
    <w:uiPriority w:val="99"/>
    <w:rPr>
      <w:rFonts w:ascii="Times New Roman" w:hAnsi="Times New Roman" w:eastAsia="Times New Roman" w:cs="Times New Roman"/>
      <w:szCs w:val="20"/>
    </w:rPr>
  </w:style>
  <w:style w:type="paragraph" w:styleId="CommentSubject1" w:customStyle="1">
    <w:name w:val="Comment Subject1"/>
    <w:basedOn w:val="CommentText1"/>
    <w:next w:val="CommentText1"/>
    <w:link w:val="CommentSubjectChar"/>
    <w:uiPriority w:val="99"/>
    <w:semiHidden/>
    <w:unhideWhenUsed/>
    <w:pPr>
      <w:spacing/>
    </w:pPr>
    <w:rPr>
      <w:b/>
      <w:bCs/>
    </w:rPr>
  </w:style>
  <w:style w:type="character" w:styleId="CommentSubjectChar" w:customStyle="1">
    <w:name w:val="Comment Subject Char"/>
    <w:basedOn w:val="CommentTextChar"/>
    <w:link w:val="CommentSubject1"/>
    <w:uiPriority w:val="99"/>
    <w:semiHidden/>
    <w:rPr>
      <w:rFonts w:ascii="Times New Roman" w:hAnsi="Times New Roman" w:eastAsia="Times New Roman" w:cs="Times New Roman"/>
      <w:b/>
      <w:bCs/>
      <w:szCs w:val="20"/>
    </w:rPr>
  </w:style>
  <w:style w:type="character" w:styleId="Bodytext2" w:customStyle="1">
    <w:name w:val="Body text (2)_"/>
    <w:basedOn w:val="DefaultParagraphFont"/>
    <w:rPr>
      <w:rFonts w:ascii="Times New Roman" w:hAnsi="Times New Roman" w:cs="Times New Roman"/>
      <w:i/>
      <w:iCs/>
      <w:sz w:val="23"/>
      <w:szCs w:val="23"/>
      <w:shd w:val="clear" w:color="auto" w:fill="FFFFFF"/>
    </w:rPr>
  </w:style>
  <w:style w:type="paragraph" w:styleId="Bodytext20" w:customStyle="1">
    <w:name w:val="Body text (2)"/>
    <w:basedOn w:val="Normal"/>
    <w:pPr>
      <w:shd w:val="clear" w:color="auto" w:fill="FFFFFF"/>
      <w:spacing w:line="269" w:lineRule="exact"/>
      <w:ind w:hanging="400"/>
      <w:jc w:val="left"/>
    </w:pPr>
    <w:rPr>
      <w:rFonts w:eastAsiaTheme="minorHAnsi"/>
      <w:i/>
      <w:iCs/>
      <w:sz w:val="23"/>
      <w:szCs w:val="23"/>
    </w:rPr>
  </w:style>
  <w:style w:type="character" w:styleId="Bodytext" w:customStyle="1">
    <w:name w:val="Body text_"/>
    <w:basedOn w:val="DefaultParagraphFont"/>
    <w:link w:val="Bodytext1"/>
    <w:rPr>
      <w:rFonts w:ascii="Times New Roman" w:hAnsi="Times New Roman" w:cs="Times New Roman"/>
      <w:sz w:val="23"/>
      <w:szCs w:val="23"/>
      <w:shd w:val="clear" w:color="auto" w:fill="FFFFFF"/>
    </w:rPr>
  </w:style>
  <w:style w:type="paragraph" w:styleId="Bodytext1" w:customStyle="1">
    <w:name w:val="Body text1"/>
    <w:basedOn w:val="Normal"/>
    <w:pPr>
      <w:shd w:val="clear" w:color="auto" w:fill="FFFFFF"/>
      <w:spacing w:before="240" w:after="240" w:line="274" w:lineRule="exact"/>
      <w:ind w:hanging="1060"/>
      <w:jc w:val="left"/>
    </w:pPr>
    <w:rPr>
      <w:rFonts w:eastAsiaTheme="minorHAnsi"/>
      <w:sz w:val="23"/>
      <w:szCs w:val="23"/>
    </w:rPr>
  </w:style>
  <w:style w:type="character" w:styleId="Bodytext2Bold" w:customStyle="1">
    <w:name w:val="Body text (2) + Bold"/>
    <w:basedOn w:val="DefaultParagraphFont"/>
    <w:rPr>
      <w:rFonts w:ascii="Times New Roman" w:hAnsi="Times New Roman" w:cs="Times New Roman"/>
      <w:b/>
      <w:bCs/>
      <w:i/>
      <w:iCs/>
      <w:spacing w:val="0"/>
      <w:sz w:val="23"/>
      <w:szCs w:val="23"/>
    </w:rPr>
  </w:style>
  <w:style w:type="character" w:styleId="Bodytext2Bold1" w:customStyle="1">
    <w:name w:val="Body text (2) + Bold1"/>
    <w:basedOn w:val="DefaultParagraphFont"/>
    <w:rPr>
      <w:rFonts w:ascii="Times New Roman" w:hAnsi="Times New Roman" w:cs="Times New Roman"/>
      <w:b/>
      <w:bCs/>
      <w:i/>
      <w:iCs/>
      <w:spacing w:val="0"/>
      <w:sz w:val="23"/>
      <w:szCs w:val="23"/>
    </w:rPr>
  </w:style>
  <w:style w:type="character" w:styleId="Bodytext2NotItalic1" w:customStyle="1">
    <w:name w:val="Body text (2) + Not Italic1"/>
    <w:basedOn w:val="Bodytext2"/>
    <w:rPr>
      <w:rFonts w:ascii="Times New Roman" w:hAnsi="Times New Roman" w:cs="Times New Roman"/>
      <w:i/>
      <w:iCs/>
      <w:sz w:val="23"/>
      <w:szCs w:val="23"/>
      <w:shd w:val="clear" w:color="auto" w:fill="FFFFFF"/>
    </w:rPr>
  </w:style>
  <w:style w:type="character" w:styleId="Bodytext9" w:customStyle="1">
    <w:name w:val="Body text (9)_"/>
    <w:basedOn w:val="DefaultParagraphFont"/>
    <w:rPr>
      <w:rFonts w:ascii="Times New Roman" w:hAnsi="Times New Roman" w:cs="Times New Roman"/>
      <w:b/>
      <w:bCs/>
      <w:sz w:val="23"/>
      <w:szCs w:val="23"/>
      <w:shd w:val="clear" w:color="auto" w:fill="FFFFFF"/>
    </w:rPr>
  </w:style>
  <w:style w:type="paragraph" w:styleId="Bodytext90" w:customStyle="1">
    <w:name w:val="Body text (9)"/>
    <w:basedOn w:val="Normal"/>
    <w:pPr>
      <w:shd w:val="clear" w:color="auto" w:fill="FFFFFF"/>
      <w:spacing w:line="274" w:lineRule="exact"/>
      <w:jc w:val="left"/>
    </w:pPr>
    <w:rPr>
      <w:rFonts w:eastAsiaTheme="minorHAnsi"/>
      <w:b/>
      <w:bCs/>
      <w:sz w:val="23"/>
      <w:szCs w:val="23"/>
    </w:rPr>
  </w:style>
  <w:style w:type="paragraph" w:styleId="Revision1" w:customStyle="1">
    <w:name w:val="Revision1"/>
    <w:uiPriority w:val="99"/>
    <w:semiHidden/>
    <w:pPr>
      <w:spacing/>
    </w:pPr>
    <w:rPr>
      <w:rFonts w:ascii="Times New Roman" w:hAnsi="Times New Roman" w:eastAsia="Times New Roman" w:cs="Times New Roman"/>
      <w:sz w:val="24"/>
      <w:szCs w:val="20"/>
    </w:rPr>
  </w:style>
  <w:style w:type="table" w:styleId="Lentelstinklelis1" w:customStyle="1">
    <w:name w:val="Lentelės tinklelis1"/>
    <w:basedOn w:val="TableNormal"/>
    <w:next w:val="TableGrid"/>
    <w:uiPriority w:val="59"/>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raonra1" w:customStyle="1">
    <w:name w:val="Sąrašo nėra1"/>
    <w:next w:val="NoList"/>
    <w:uiPriority w:val="99"/>
    <w:semiHidden/>
    <w:unhideWhenUsed/>
  </w:style>
  <w:style w:type="paragraph" w:styleId="BodyText0">
    <w:name w:val="Body Text"/>
    <w:basedOn w:val="Normal"/>
    <w:link w:val="BodyTextChar"/>
    <w:uiPriority w:val="99"/>
    <w:unhideWhenUsed/>
    <w:pPr>
      <w:spacing w:after="120" w:line="259" w:lineRule="auto"/>
      <w:jc w:val="left"/>
    </w:pPr>
    <w:rPr>
      <w:rFonts w:asciiTheme="minorHAnsi" w:hAnsiTheme="minorHAnsi" w:eastAsiaTheme="minorHAnsi" w:cstheme="minorBidi"/>
      <w:sz w:val="22"/>
      <w:szCs w:val="22"/>
    </w:rPr>
  </w:style>
  <w:style w:type="character" w:styleId="BodyTextChar" w:customStyle="1">
    <w:name w:val="Body Text Char"/>
    <w:basedOn w:val="DefaultParagraphFont"/>
    <w:uiPriority w:val="99"/>
    <w:rPr>
      <w:rFonts w:asciiTheme="minorHAnsi" w:hAnsiTheme="minorHAnsi"/>
      <w:sz w:val="22"/>
    </w:rPr>
  </w:style>
  <w:style w:type="table" w:styleId="Lentelstinklelis2" w:customStyle="1">
    <w:name w:val="Lentelės tinklelis2"/>
    <w:basedOn w:val="TableNormal"/>
    <w:next w:val="TableGrid"/>
    <w:uiPriority w:val="59"/>
    <w:pPr>
      <w:spacing/>
    </w:pPr>
    <w:rPr>
      <w:rFonts w:asciiTheme="minorHAnsi" w:hAnsiTheme="minorHAns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i-provider" w:customStyle="1">
    <w:name w:val="ui-provider"/>
    <w:basedOn w:val="DefaultParagraphFont"/>
    <w:rPr/>
  </w:style>
  <w:style w:type="character" w:styleId="Strong">
    <w:name w:val="Strong"/>
    <w:basedOn w:val="DefaultParagraphFont"/>
    <w:uiPriority w:val="22"/>
    <w:qFormat/>
    <w:rPr>
      <w:b/>
      <w:bCs/>
    </w:rPr>
  </w:style>
  <w:style w:type="paragraph" w:styleId="paragraph" w:customStyle="1">
    <w:name w:val="paragraph"/>
    <w:basedOn w:val="Normal"/>
    <w:pPr>
      <w:spacing w:before="100" w:beforeAutospacing="1" w:after="100" w:afterAutospacing="1"/>
      <w:jc w:val="left"/>
    </w:pPr>
    <w:rPr>
      <w:szCs w:val="24"/>
      <w:lang w:eastAsia="lt-LT"/>
    </w:rPr>
  </w:style>
  <w:style w:type="character" w:styleId="normaltextrun" w:customStyle="1">
    <w:name w:val="normaltextrun"/>
    <w:basedOn w:val="DefaultParagraphFont"/>
    <w:rPr/>
  </w:style>
  <w:style w:type="character" w:styleId="eop" w:customStyle="1">
    <w:name w:val="eop"/>
    <w:basedOn w:val="DefaultParagraphFont"/>
    <w:rPr/>
  </w:style>
</w:styles>
</file>

<file path=word/_rels/document.xml.rels>&#65279;<?xml version="1.0" encoding="utf-8" standalone="yes"?><Relationships xmlns="http://schemas.openxmlformats.org/package/2006/relationships"><Relationship Id="rId5" Type="http://schemas.openxmlformats.org/officeDocument/2006/relationships/styles" Target="styles.xml" /><Relationship Id="rId6" Type="http://schemas.openxmlformats.org/officeDocument/2006/relationships/settings" Target="settings.xml" /><Relationship Id="rId7" Type="http://schemas.openxmlformats.org/officeDocument/2006/relationships/theme" Target="theme/theme1.xml" /><Relationship Id="rId8" Type="http://schemas.openxmlformats.org/officeDocument/2006/relationships/numbering" Target="numbering.xml" /><Relationship Id="rId1" Type="http://schemas.openxmlformats.org/officeDocument/2006/relationships/header" Target="header1.xml" /><Relationship Id="rId2" Type="http://schemas.openxmlformats.org/officeDocument/2006/relationships/header" Target="header2.xml" /><Relationship Id="rId9" Type="http://schemas.openxmlformats.org/officeDocument/2006/relationships/fontTable" Target="fontTable.xml" /><Relationship Id="rId10" Type="http://schemas.openxmlformats.org/officeDocument/2006/relationships/customXml" Target="../customXml/item1.xml" /><Relationship Id="rId11" Type="http://schemas.openxmlformats.org/officeDocument/2006/relationships/customXml" Target="../customXml/item2.xml" /><Relationship Id="rId12" Type="http://schemas.openxmlformats.org/officeDocument/2006/relationships/customXml" Target="../customXml/item3.xml" /><Relationship Id="rId13"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3" Type="http://schemas.openxmlformats.org/officeDocument/2006/relationships/image" Target="media/image1.png" /></Relationships>
</file>

<file path=word/_rels/header2.xml.rels>&#65279;<?xml version="1.0" encoding="utf-8" standalone="yes"?><Relationships xmlns="http://schemas.openxmlformats.org/package/2006/relationships"><Relationship Id="rId4"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Normal.dotm</Template>
  <TotalTime>419</TotalTime>
  <Pages>22</Pages>
  <Words>53517</Words>
  <Characters>30505</Characters>
  <Application>Microsoft Office Word</Application>
  <DocSecurity>0</DocSecurity>
  <Lines>254</Lines>
  <Paragraphs>167</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Jolanta Šarkaitė</cp:lastModifiedBy>
  <cp:revision>203</cp:revision>
  <dcterms:created xsi:type="dcterms:W3CDTF">2025-10-22T11:59:00Z</dcterms:created>
  <dcterms:modified xsi:type="dcterms:W3CDTF">2026-01-27T20:50:00Z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0x01010057B76E265C8C984EB64E26C844CB9C43</vt:lpstr>
  </property>
</Properties>
</file>